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AB08A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w:t>
      </w:r>
      <w:r w:rsidR="00085B1D">
        <w:rPr>
          <w:i/>
          <w:sz w:val="24"/>
          <w:u w:val="single"/>
        </w:rPr>
        <w:t>о-заочная</w:t>
      </w:r>
      <w:bookmarkStart w:id="0" w:name="_GoBack"/>
      <w:bookmarkEnd w:id="0"/>
    </w:p>
    <w:p w:rsidR="003629FC" w:rsidRDefault="003629FC" w:rsidP="00656D7E">
      <w:pPr>
        <w:pStyle w:val="ReportHead"/>
        <w:widowControl w:val="0"/>
        <w:ind w:left="-567" w:firstLine="710"/>
        <w:rPr>
          <w:sz w:val="24"/>
        </w:rPr>
      </w:pPr>
      <w:bookmarkStart w:id="1" w:name="BookmarkWhereDelChr13"/>
      <w:bookmarkEnd w:id="1"/>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242AA" w:rsidP="00656D7E">
      <w:pPr>
        <w:pStyle w:val="ReportHead"/>
        <w:widowControl w:val="0"/>
        <w:ind w:left="-567" w:firstLine="710"/>
        <w:rPr>
          <w:sz w:val="24"/>
        </w:rPr>
      </w:pPr>
      <w:r>
        <w:rPr>
          <w:sz w:val="24"/>
        </w:rPr>
        <w:t xml:space="preserve">Год набора </w:t>
      </w:r>
      <w:r w:rsidR="00843517">
        <w:rPr>
          <w:sz w:val="24"/>
        </w:rPr>
        <w:t>2021</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351907">
        <w:rPr>
          <w:rFonts w:ascii="Times New Roman" w:eastAsia="Calibri" w:hAnsi="Times New Roman" w:cs="Times New Roman"/>
          <w:sz w:val="28"/>
          <w:szCs w:val="28"/>
        </w:rPr>
        <w:t>юриспруденции</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w:t>
      </w:r>
      <w:r w:rsidR="00843517">
        <w:rPr>
          <w:rFonts w:ascii="Times New Roman" w:eastAsia="Calibri" w:hAnsi="Times New Roman" w:cs="Times New Roman"/>
          <w:sz w:val="28"/>
          <w:szCs w:val="28"/>
        </w:rPr>
        <w:t>21</w:t>
      </w:r>
      <w:r w:rsidRPr="0094171A">
        <w:rPr>
          <w:rFonts w:ascii="Times New Roman" w:eastAsia="Calibri" w:hAnsi="Times New Roman" w:cs="Times New Roman"/>
          <w:sz w:val="28"/>
          <w:szCs w:val="28"/>
        </w:rPr>
        <w:t>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843517">
        <w:rPr>
          <w:rFonts w:ascii="Times New Roman" w:eastAsia="Calibri" w:hAnsi="Times New Roman" w:cs="Times New Roman"/>
          <w:sz w:val="28"/>
          <w:szCs w:val="28"/>
        </w:rPr>
        <w:t>Н.В. Хомякова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7242AA"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213D2D" w:rsidRPr="00385278">
        <w:rPr>
          <w:rFonts w:ascii="Times New Roman" w:eastAsia="Calibri" w:hAnsi="Times New Roman" w:cs="Times New Roman"/>
          <w:sz w:val="28"/>
          <w:szCs w:val="28"/>
        </w:rPr>
        <w:t xml:space="preserve">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85"/>
        <w:gridCol w:w="3293"/>
        <w:gridCol w:w="2345"/>
        <w:gridCol w:w="2819"/>
      </w:tblGrid>
      <w:tr w:rsidR="00D77F13" w:rsidRPr="00D77F13" w:rsidTr="00843517">
        <w:trPr>
          <w:tblHeader/>
        </w:trPr>
        <w:tc>
          <w:tcPr>
            <w:tcW w:w="989"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6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1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37"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843517">
        <w:trPr>
          <w:trHeight w:val="1005"/>
        </w:trPr>
        <w:tc>
          <w:tcPr>
            <w:tcW w:w="989" w:type="pct"/>
            <w:vMerge w:val="restart"/>
          </w:tcPr>
          <w:p w:rsidR="00D77F13" w:rsidRPr="00843517" w:rsidRDefault="00843517" w:rsidP="00843517">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1562"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12"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843517">
        <w:trPr>
          <w:trHeight w:val="141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lastRenderedPageBreak/>
              <w:t>определять и юридически 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12"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843517">
        <w:trPr>
          <w:trHeight w:val="198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37"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7"/>
        </w:trPr>
        <w:tc>
          <w:tcPr>
            <w:tcW w:w="989" w:type="pct"/>
            <w:vMerge w:val="restart"/>
          </w:tcPr>
          <w:p w:rsidR="00843517" w:rsidRPr="00843517" w:rsidRDefault="00843517" w:rsidP="00843517">
            <w:pPr>
              <w:suppressAutoHyphens/>
              <w:spacing w:after="0" w:line="240" w:lineRule="auto"/>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ОПК-1 Способен анализировать основные закономерности формирования, функционирования и развития права</w:t>
            </w: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Знать:</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процесс возникновения и развития государственности и права России в различные исторические эпохи. </w:t>
            </w:r>
          </w:p>
          <w:p w:rsidR="00843517" w:rsidRPr="00843517" w:rsidRDefault="00843517" w:rsidP="00843517">
            <w:pPr>
              <w:suppressAutoHyphens/>
              <w:spacing w:after="0" w:line="240" w:lineRule="auto"/>
              <w:jc w:val="both"/>
              <w:rPr>
                <w:rFonts w:ascii="Times New Roman" w:eastAsia="Calibri" w:hAnsi="Times New Roman" w:cs="Times New Roman"/>
                <w:bCs/>
                <w:iCs/>
                <w:sz w:val="24"/>
                <w:szCs w:val="24"/>
                <w:lang w:eastAsia="ar-SA"/>
              </w:rPr>
            </w:pPr>
            <w:r w:rsidRPr="00843517">
              <w:rPr>
                <w:rFonts w:ascii="Times New Roman" w:eastAsia="Calibri" w:hAnsi="Times New Roman" w:cs="Times New Roman"/>
                <w:bCs/>
                <w:iCs/>
                <w:sz w:val="24"/>
                <w:szCs w:val="24"/>
                <w:lang w:eastAsia="ar-SA"/>
              </w:rPr>
              <w:t xml:space="preserve">- основные функции государства и права; </w:t>
            </w:r>
          </w:p>
          <w:p w:rsidR="00843517" w:rsidRPr="00843517" w:rsidRDefault="00843517" w:rsidP="00843517">
            <w:pPr>
              <w:widowControl w:val="0"/>
              <w:spacing w:after="0" w:line="240" w:lineRule="auto"/>
              <w:rPr>
                <w:rFonts w:ascii="Times New Roman" w:eastAsia="Calibri" w:hAnsi="Times New Roman" w:cs="Times New Roman"/>
                <w:b/>
                <w:sz w:val="28"/>
                <w:szCs w:val="28"/>
                <w:u w:val="single"/>
              </w:rPr>
            </w:pPr>
            <w:r w:rsidRPr="00843517">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r w:rsidRPr="00843517">
              <w:rPr>
                <w:rFonts w:ascii="Times New Roman" w:eastAsia="Calibri" w:hAnsi="Times New Roman" w:cs="Times New Roman"/>
                <w:b/>
                <w:sz w:val="28"/>
                <w:szCs w:val="28"/>
                <w:u w:val="single"/>
              </w:rPr>
              <w:t xml:space="preserve"> </w:t>
            </w:r>
          </w:p>
          <w:p w:rsidR="00843517" w:rsidRPr="00096670" w:rsidRDefault="00843517" w:rsidP="00313FA3">
            <w:pPr>
              <w:widowControl w:val="0"/>
              <w:spacing w:after="0" w:line="240" w:lineRule="auto"/>
              <w:jc w:val="both"/>
              <w:rPr>
                <w:rFonts w:ascii="Times New Roman" w:eastAsia="Calibri" w:hAnsi="Times New Roman" w:cs="Times New Roman"/>
                <w:b/>
                <w:sz w:val="24"/>
                <w:szCs w:val="24"/>
                <w:u w:val="single"/>
                <w:lang w:eastAsia="ru-RU"/>
              </w:rPr>
            </w:pPr>
          </w:p>
        </w:tc>
        <w:tc>
          <w:tcPr>
            <w:tcW w:w="1112" w:type="pct"/>
          </w:tcPr>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843517" w:rsidRPr="00D77F13" w:rsidRDefault="00843517" w:rsidP="00505FCF">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843517" w:rsidRPr="00D77F13" w:rsidRDefault="00843517" w:rsidP="00505FCF">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Уметь:</w:t>
            </w:r>
          </w:p>
          <w:p w:rsidR="00843517" w:rsidRPr="00843517" w:rsidRDefault="00843517" w:rsidP="00843517">
            <w:pPr>
              <w:widowControl w:val="0"/>
              <w:spacing w:after="0" w:line="240" w:lineRule="auto"/>
              <w:jc w:val="both"/>
              <w:rPr>
                <w:rFonts w:ascii="Times New Roman" w:eastAsia="Calibri" w:hAnsi="Times New Roman" w:cs="Times New Roman"/>
                <w:color w:val="000000"/>
                <w:sz w:val="24"/>
                <w:szCs w:val="24"/>
                <w:shd w:val="clear" w:color="auto" w:fill="FFFFFF"/>
              </w:rPr>
            </w:pPr>
            <w:r w:rsidRPr="00843517">
              <w:rPr>
                <w:rFonts w:ascii="Times New Roman" w:eastAsia="Calibri" w:hAnsi="Times New Roman" w:cs="Times New Roman"/>
                <w:sz w:val="24"/>
              </w:rPr>
              <w:t xml:space="preserve">- свободно оперировать </w:t>
            </w:r>
            <w:r w:rsidRPr="00843517">
              <w:rPr>
                <w:rFonts w:ascii="Times New Roman" w:eastAsia="Calibri" w:hAnsi="Times New Roman" w:cs="Times New Roman"/>
                <w:color w:val="000000"/>
                <w:sz w:val="24"/>
                <w:szCs w:val="24"/>
                <w:shd w:val="clear" w:color="auto" w:fill="FFFFFF"/>
              </w:rPr>
              <w:t>основными историко-правовыми и общеправовыми понятиями и категориями;</w:t>
            </w:r>
          </w:p>
          <w:p w:rsidR="00843517" w:rsidRPr="00843517" w:rsidRDefault="00843517" w:rsidP="00843517">
            <w:pPr>
              <w:suppressAutoHyphens/>
              <w:spacing w:after="0" w:line="240" w:lineRule="auto"/>
              <w:jc w:val="both"/>
              <w:rPr>
                <w:rFonts w:ascii="Times New Roman" w:eastAsia="Calibri" w:hAnsi="Times New Roman" w:cs="Times New Roman"/>
                <w:sz w:val="24"/>
                <w:szCs w:val="24"/>
              </w:rPr>
            </w:pPr>
            <w:r w:rsidRPr="00843517">
              <w:rPr>
                <w:rFonts w:ascii="Times New Roman" w:eastAsia="Calibri" w:hAnsi="Times New Roman" w:cs="Times New Roman"/>
                <w:bCs/>
                <w:iCs/>
                <w:sz w:val="24"/>
                <w:szCs w:val="24"/>
                <w:lang w:eastAsia="ar-SA"/>
              </w:rPr>
              <w:t>- к</w:t>
            </w:r>
            <w:r w:rsidRPr="00843517">
              <w:rPr>
                <w:rFonts w:ascii="Times New Roman" w:eastAsia="Calibri" w:hAnsi="Times New Roman" w:cs="Times New Roman"/>
                <w:sz w:val="24"/>
                <w:szCs w:val="24"/>
              </w:rPr>
              <w:t xml:space="preserve">ритически оценивать </w:t>
            </w:r>
            <w:r w:rsidRPr="00843517">
              <w:rPr>
                <w:rFonts w:ascii="Times New Roman" w:eastAsia="Calibri" w:hAnsi="Times New Roman" w:cs="Times New Roman"/>
                <w:sz w:val="24"/>
                <w:szCs w:val="24"/>
              </w:rPr>
              <w:lastRenderedPageBreak/>
              <w:t>совокупность объективных условий формирования, функционирования и развития права;</w:t>
            </w:r>
          </w:p>
          <w:p w:rsidR="00843517" w:rsidRPr="00096670" w:rsidRDefault="00843517" w:rsidP="00843517">
            <w:pPr>
              <w:suppressAutoHyphens/>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sz w:val="24"/>
              </w:rPr>
              <w:t>- ясно выражать и аргументировать свою позицию по государственно-правовой и общественной проблематике.</w:t>
            </w:r>
          </w:p>
        </w:tc>
        <w:tc>
          <w:tcPr>
            <w:tcW w:w="1112"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w:t>
            </w:r>
            <w:r w:rsidRPr="00D77F13">
              <w:rPr>
                <w:rFonts w:ascii="Times New Roman" w:eastAsia="Times New Roman" w:hAnsi="Times New Roman" w:cs="Times New Roman"/>
                <w:sz w:val="24"/>
                <w:szCs w:val="24"/>
                <w:lang w:eastAsia="ru-RU"/>
              </w:rPr>
              <w:lastRenderedPageBreak/>
              <w:t>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вопросы для обсуждения;</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ситуативные юридические задачи</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Владеть:</w:t>
            </w:r>
          </w:p>
          <w:p w:rsidR="00843517" w:rsidRPr="00843517" w:rsidRDefault="00843517" w:rsidP="00843517">
            <w:pPr>
              <w:widowControl w:val="0"/>
              <w:spacing w:after="0" w:line="240" w:lineRule="auto"/>
              <w:jc w:val="both"/>
              <w:rPr>
                <w:rFonts w:ascii="Times New Roman" w:eastAsia="Calibri" w:hAnsi="Times New Roman" w:cs="Times New Roman"/>
                <w:sz w:val="24"/>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sz w:val="24"/>
              </w:rPr>
              <w:t>навыками ясно выражать и аргументировать свою позицию по государственно-правовой и общественной проблематике;</w:t>
            </w:r>
          </w:p>
          <w:p w:rsidR="00843517" w:rsidRPr="00096670" w:rsidRDefault="00843517" w:rsidP="00843517">
            <w:pPr>
              <w:widowControl w:val="0"/>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rPr>
              <w:t xml:space="preserve">- </w:t>
            </w:r>
            <w:r w:rsidRPr="00843517">
              <w:rPr>
                <w:rFonts w:ascii="Times New Roman" w:eastAsia="Calibri" w:hAnsi="Times New Roman" w:cs="Times New Roman"/>
                <w:bCs/>
                <w:iCs/>
                <w:szCs w:val="24"/>
                <w:lang w:eastAsia="ar-SA"/>
              </w:rPr>
              <w:t xml:space="preserve">навыками </w:t>
            </w:r>
            <w:r w:rsidRPr="00843517">
              <w:rPr>
                <w:rFonts w:ascii="Times New Roman" w:eastAsia="Calibri" w:hAnsi="Times New Roman" w:cs="Times New Roman"/>
                <w:szCs w:val="24"/>
              </w:rPr>
              <w:t>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представление докладов </w:t>
            </w: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Pr>
                <w:rFonts w:ascii="Times New Roman" w:eastAsia="Times New Roman" w:hAnsi="Times New Roman" w:cs="Times New Roman"/>
                <w:sz w:val="24"/>
                <w:szCs w:val="24"/>
                <w:lang w:eastAsia="ru-RU"/>
              </w:rPr>
              <w:t>ровать собственную точку зрения:</w:t>
            </w:r>
          </w:p>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 и сообщений</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0210D0">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r w:rsidR="000210D0">
        <w:rPr>
          <w:rFonts w:ascii="Times New Roman" w:eastAsia="Times New Roman" w:hAnsi="Times New Roman" w:cs="Times New Roman"/>
          <w:sz w:val="28"/>
          <w:szCs w:val="28"/>
        </w:rPr>
        <w:t xml:space="preserve"> </w:t>
      </w: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BA" w:rsidRDefault="00E75BBA" w:rsidP="00CB58F6">
      <w:pPr>
        <w:spacing w:after="0" w:line="240" w:lineRule="auto"/>
      </w:pPr>
      <w:r>
        <w:separator/>
      </w:r>
    </w:p>
  </w:endnote>
  <w:endnote w:type="continuationSeparator" w:id="0">
    <w:p w:rsidR="00E75BBA" w:rsidRDefault="00E75BBA"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085B1D">
          <w:rPr>
            <w:noProof/>
          </w:rPr>
          <w:t>2</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BA" w:rsidRDefault="00E75BBA" w:rsidP="00CB58F6">
      <w:pPr>
        <w:spacing w:after="0" w:line="240" w:lineRule="auto"/>
      </w:pPr>
      <w:r>
        <w:separator/>
      </w:r>
    </w:p>
  </w:footnote>
  <w:footnote w:type="continuationSeparator" w:id="0">
    <w:p w:rsidR="00E75BBA" w:rsidRDefault="00E75BBA"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0D0"/>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B1D"/>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7D9"/>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0C5C"/>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1907"/>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975"/>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68B"/>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2AA"/>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517"/>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08A3"/>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05E1F"/>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BBA"/>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488"/>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6C3A-EC6E-45C2-BC82-963F449C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4294950349</TotalTime>
  <Pages>104</Pages>
  <Words>27539</Words>
  <Characters>156974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227</cp:revision>
  <cp:lastPrinted>2019-02-26T11:22:00Z</cp:lastPrinted>
  <dcterms:created xsi:type="dcterms:W3CDTF">2019-02-28T09:31:00Z</dcterms:created>
  <dcterms:modified xsi:type="dcterms:W3CDTF">2021-09-10T06:40:00Z</dcterms:modified>
</cp:coreProperties>
</file>