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323858"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A136E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65211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652113" w:rsidRPr="00652113">
        <w:rPr>
          <w:rFonts w:ascii="Times New Roman" w:eastAsia="Calibri" w:hAnsi="Times New Roman" w:cs="Times New Roman"/>
          <w:sz w:val="24"/>
          <w:szCs w:val="24"/>
          <w:u w:val="single"/>
        </w:rPr>
        <w:t xml:space="preserve">7 от 20.02.2019 </w:t>
      </w:r>
      <w:bookmarkStart w:id="0" w:name="_GoBack"/>
      <w:bookmarkEnd w:id="0"/>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A91774" w:rsidRPr="00D3181F" w:rsidRDefault="00A91774"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4995"/>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w:t>
            </w:r>
            <w:r w:rsidR="009E79DA">
              <w:rPr>
                <w:rFonts w:ascii="Times New Roman" w:eastAsia="Times New Roman" w:hAnsi="Times New Roman" w:cs="Times New Roman"/>
                <w:sz w:val="24"/>
                <w:szCs w:val="24"/>
                <w:lang w:eastAsia="ru-RU"/>
              </w:rPr>
              <w:t>еловая игра</w:t>
            </w:r>
            <w:r w:rsidR="00153DD3"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323858" w:rsidRDefault="00323858" w:rsidP="00A25B7B">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42" w:rsidRDefault="00811442" w:rsidP="00A13401">
      <w:pPr>
        <w:spacing w:after="0" w:line="240" w:lineRule="auto"/>
      </w:pPr>
      <w:r>
        <w:separator/>
      </w:r>
    </w:p>
  </w:endnote>
  <w:endnote w:type="continuationSeparator" w:id="0">
    <w:p w:rsidR="00811442" w:rsidRDefault="0081144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42" w:rsidRDefault="00811442" w:rsidP="00A13401">
      <w:pPr>
        <w:spacing w:after="0" w:line="240" w:lineRule="auto"/>
      </w:pPr>
      <w:r>
        <w:separator/>
      </w:r>
    </w:p>
  </w:footnote>
  <w:footnote w:type="continuationSeparator" w:id="0">
    <w:p w:rsidR="00811442" w:rsidRDefault="0081144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3858"/>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2113"/>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11442"/>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91774"/>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3C7B"/>
    <w:rsid w:val="00CD6EC5"/>
    <w:rsid w:val="00CF6A8F"/>
    <w:rsid w:val="00CF71CE"/>
    <w:rsid w:val="00D00F00"/>
    <w:rsid w:val="00D070AD"/>
    <w:rsid w:val="00D202AB"/>
    <w:rsid w:val="00D3181F"/>
    <w:rsid w:val="00D417A8"/>
    <w:rsid w:val="00D5379D"/>
    <w:rsid w:val="00D8393A"/>
    <w:rsid w:val="00DB304F"/>
    <w:rsid w:val="00DB4F07"/>
    <w:rsid w:val="00DB6D92"/>
    <w:rsid w:val="00DB71EA"/>
    <w:rsid w:val="00DB7BDC"/>
    <w:rsid w:val="00DC3CB4"/>
    <w:rsid w:val="00DF051F"/>
    <w:rsid w:val="00DF701B"/>
    <w:rsid w:val="00E01D9D"/>
    <w:rsid w:val="00E17533"/>
    <w:rsid w:val="00E20936"/>
    <w:rsid w:val="00E51ADF"/>
    <w:rsid w:val="00E96129"/>
    <w:rsid w:val="00EA2F0D"/>
    <w:rsid w:val="00EC3000"/>
    <w:rsid w:val="00EE22BA"/>
    <w:rsid w:val="00EF2167"/>
    <w:rsid w:val="00F11A69"/>
    <w:rsid w:val="00F16384"/>
    <w:rsid w:val="00F219C7"/>
    <w:rsid w:val="00F36476"/>
    <w:rsid w:val="00F41799"/>
    <w:rsid w:val="00F74334"/>
    <w:rsid w:val="00F9414B"/>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F20E-7CF6-405D-8110-B86E89E3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23517</Words>
  <Characters>134052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2019-11-27T04:10:00Z</cp:lastPrinted>
  <dcterms:created xsi:type="dcterms:W3CDTF">2019-12-06T07:15:00Z</dcterms:created>
  <dcterms:modified xsi:type="dcterms:W3CDTF">2019-12-06T10:18:00Z</dcterms:modified>
</cp:coreProperties>
</file>