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8921E2">
        <w:rPr>
          <w:i/>
          <w:sz w:val="24"/>
          <w:u w:val="single"/>
        </w:rPr>
        <w:t>о-заочное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</w:t>
      </w:r>
      <w:r w:rsidR="00916371">
        <w:rPr>
          <w:sz w:val="24"/>
          <w:szCs w:val="24"/>
        </w:rPr>
        <w:t>2</w:t>
      </w:r>
      <w:r w:rsidR="00211F58">
        <w:rPr>
          <w:sz w:val="24"/>
          <w:szCs w:val="24"/>
        </w:rPr>
        <w:t>1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75CDE" w:rsidRDefault="00C75CDE" w:rsidP="00C75CDE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211F58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211F58">
        <w:rPr>
          <w:sz w:val="24"/>
          <w:szCs w:val="24"/>
        </w:rPr>
        <w:t>«__» _____________</w:t>
      </w:r>
      <w:r>
        <w:rPr>
          <w:sz w:val="24"/>
          <w:szCs w:val="24"/>
        </w:rPr>
        <w:t>202</w:t>
      </w:r>
      <w:r w:rsidR="00211F58">
        <w:rPr>
          <w:sz w:val="24"/>
          <w:szCs w:val="24"/>
        </w:rPr>
        <w:t>1</w:t>
      </w:r>
      <w:r>
        <w:rPr>
          <w:sz w:val="24"/>
          <w:szCs w:val="24"/>
        </w:rPr>
        <w:t xml:space="preserve"> г.   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916371" w:rsidRDefault="00916371" w:rsidP="0091637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744"/>
        <w:gridCol w:w="3119"/>
        <w:gridCol w:w="2409"/>
      </w:tblGrid>
      <w:tr w:rsidR="00211F58" w:rsidRPr="0050582D" w:rsidTr="00D84AA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2744" w:type="dxa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>
              <w:t>И</w:t>
            </w:r>
            <w:r w:rsidRPr="003168A4">
              <w:t>ндикатор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F58" w:rsidRDefault="00211F58" w:rsidP="00D84AA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ПК*-1-В-3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Знать: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источники получения основной статистической информации для анализа экономических данных.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AF04EF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применять современные математические и инструментальные средства для проведения анализа по планированию данных.</w:t>
            </w:r>
          </w:p>
          <w:p w:rsidR="00211F58" w:rsidRPr="00211F58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9E7B5F" w:rsidRDefault="00211F58" w:rsidP="008921E2">
            <w:pPr>
              <w:tabs>
                <w:tab w:val="num" w:pos="0"/>
              </w:tabs>
              <w:ind w:right="355"/>
              <w:jc w:val="both"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Владеть:</w:t>
            </w:r>
          </w:p>
          <w:p w:rsidR="00211F58" w:rsidRPr="00211F58" w:rsidRDefault="00211F58" w:rsidP="00211F5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211F58">
              <w:rPr>
                <w:sz w:val="24"/>
                <w:szCs w:val="24"/>
              </w:rPr>
              <w:t>навыками</w:t>
            </w:r>
            <w:proofErr w:type="gramEnd"/>
            <w:r w:rsidRPr="00211F58">
              <w:rPr>
                <w:sz w:val="24"/>
                <w:szCs w:val="24"/>
              </w:rPr>
              <w:t xml:space="preserve"> расчета основных индикаторов экономики на основе </w:t>
            </w:r>
            <w:proofErr w:type="spellStart"/>
            <w:r w:rsidRPr="00211F58">
              <w:rPr>
                <w:sz w:val="24"/>
                <w:szCs w:val="24"/>
              </w:rPr>
              <w:t>информации</w:t>
            </w:r>
            <w:proofErr w:type="spellEnd"/>
            <w:r w:rsidRPr="00211F58">
              <w:rPr>
                <w:sz w:val="24"/>
                <w:szCs w:val="24"/>
              </w:rPr>
              <w:t xml:space="preserve"> </w:t>
            </w:r>
            <w:proofErr w:type="spellStart"/>
            <w:r w:rsidRPr="00211F58">
              <w:rPr>
                <w:sz w:val="24"/>
                <w:szCs w:val="24"/>
              </w:rPr>
              <w:t>системы</w:t>
            </w:r>
            <w:proofErr w:type="spellEnd"/>
            <w:r w:rsidRPr="00211F58">
              <w:rPr>
                <w:sz w:val="24"/>
                <w:szCs w:val="24"/>
              </w:rPr>
              <w:t xml:space="preserve"> </w:t>
            </w:r>
            <w:proofErr w:type="spellStart"/>
            <w:r w:rsidRPr="00211F58">
              <w:rPr>
                <w:sz w:val="24"/>
                <w:szCs w:val="24"/>
              </w:rPr>
              <w:t>национальных</w:t>
            </w:r>
            <w:proofErr w:type="spellEnd"/>
            <w:r w:rsidRPr="00211F58">
              <w:rPr>
                <w:sz w:val="24"/>
                <w:szCs w:val="24"/>
              </w:rPr>
              <w:t xml:space="preserve"> </w:t>
            </w:r>
            <w:proofErr w:type="spellStart"/>
            <w:r w:rsidRPr="00211F58">
              <w:rPr>
                <w:sz w:val="24"/>
                <w:szCs w:val="24"/>
              </w:rPr>
              <w:t>счетов</w:t>
            </w:r>
            <w:proofErr w:type="spellEnd"/>
            <w:r w:rsidRPr="00211F5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 xml:space="preserve">ПК*-4 Способен оценивать влияние бюджетной и налоговой </w:t>
            </w:r>
            <w:proofErr w:type="gramStart"/>
            <w:r w:rsidRPr="003F651D">
              <w:t>политики на</w:t>
            </w:r>
            <w:proofErr w:type="gramEnd"/>
            <w:r w:rsidRPr="003F651D"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ПК*-4-В-2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 xml:space="preserve">Знать: </w:t>
            </w:r>
            <w:r w:rsidRPr="00211F58">
              <w:rPr>
                <w:szCs w:val="24"/>
              </w:rPr>
              <w:t>направления бюджетной и налоговой стратегий развития страны</w:t>
            </w:r>
          </w:p>
          <w:p w:rsidR="00211F58" w:rsidRPr="00211F58" w:rsidRDefault="00211F58" w:rsidP="00211F58">
            <w:pPr>
              <w:pStyle w:val="ReportMain"/>
              <w:suppressAutoHyphens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  <w:r w:rsidRPr="00211F58">
              <w:rPr>
                <w:szCs w:val="24"/>
              </w:rPr>
              <w:t xml:space="preserve"> обосновывать на перспективу варианты влияния бюджетной и налоговой </w:t>
            </w:r>
            <w:proofErr w:type="gramStart"/>
            <w:r w:rsidRPr="00211F58">
              <w:rPr>
                <w:szCs w:val="24"/>
              </w:rPr>
              <w:t>политики на поведение</w:t>
            </w:r>
            <w:proofErr w:type="gramEnd"/>
            <w:r w:rsidRPr="00211F58">
              <w:rPr>
                <w:szCs w:val="24"/>
              </w:rPr>
              <w:t xml:space="preserve"> субъектов финансовых отношений</w:t>
            </w:r>
          </w:p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9E7B5F" w:rsidRDefault="00211F58" w:rsidP="008921E2">
            <w:pPr>
              <w:tabs>
                <w:tab w:val="num" w:pos="0"/>
              </w:tabs>
              <w:ind w:right="355"/>
              <w:jc w:val="both"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  <w:r w:rsidRPr="00211F58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211F58">
              <w:rPr>
                <w:sz w:val="24"/>
                <w:szCs w:val="24"/>
                <w:lang w:val="ru-RU"/>
              </w:rPr>
              <w:t xml:space="preserve"> методами расчета и анализа основных показателей бюджетной и налоговой </w:t>
            </w:r>
            <w:proofErr w:type="gramStart"/>
            <w:r w:rsidRPr="00211F58">
              <w:rPr>
                <w:sz w:val="24"/>
                <w:szCs w:val="24"/>
                <w:lang w:val="ru-RU"/>
              </w:rPr>
              <w:t>политики на</w:t>
            </w:r>
            <w:proofErr w:type="gramEnd"/>
            <w:r w:rsidRPr="00211F58">
              <w:rPr>
                <w:sz w:val="24"/>
                <w:szCs w:val="24"/>
                <w:lang w:val="ru-RU"/>
              </w:rPr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</w:tbl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lastRenderedPageBreak/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0" w:name="page6"/>
      <w:bookmarkEnd w:id="0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1" w:name="page7"/>
      <w:bookmarkEnd w:id="1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2" w:name="page8"/>
      <w:bookmarkEnd w:id="2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3" w:name="page9"/>
      <w:bookmarkEnd w:id="3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4" w:name="page38"/>
      <w:bookmarkEnd w:id="4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5" w:name="page40"/>
      <w:bookmarkEnd w:id="5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6" w:name="page41"/>
      <w:bookmarkEnd w:id="6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7" w:name="page42"/>
      <w:bookmarkEnd w:id="7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8" w:name="page50"/>
      <w:bookmarkEnd w:id="8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9" w:name="page51"/>
      <w:bookmarkEnd w:id="9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0" w:name="page52"/>
      <w:bookmarkEnd w:id="10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1" w:name="page53"/>
      <w:bookmarkEnd w:id="11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2" w:name="page54"/>
      <w:bookmarkEnd w:id="12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lastRenderedPageBreak/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lastRenderedPageBreak/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>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</w:t>
      </w:r>
      <w:r w:rsidRPr="00CD47FB">
        <w:rPr>
          <w:sz w:val="24"/>
          <w:szCs w:val="24"/>
        </w:rPr>
        <w:lastRenderedPageBreak/>
        <w:t>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3" w:name="page24"/>
      <w:bookmarkEnd w:id="13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4" w:name="page28"/>
      <w:bookmarkEnd w:id="14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 xml:space="preserve">, целодневные простои составили 4 тыс. чел.-дней, число неявок по различным причинам – 55 тыс. чел.-дней. В этом </w:t>
      </w:r>
      <w:r w:rsidRPr="00C330BB">
        <w:rPr>
          <w:sz w:val="24"/>
          <w:szCs w:val="24"/>
        </w:rPr>
        <w:lastRenderedPageBreak/>
        <w:t>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5" w:name="page36"/>
      <w:bookmarkEnd w:id="15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6" w:name="_Toc445844538"/>
      <w:bookmarkStart w:id="17" w:name="_GoBack"/>
      <w:bookmarkEnd w:id="17"/>
      <w:r w:rsidRPr="00CD47FB">
        <w:rPr>
          <w:rFonts w:ascii="Times New Roman" w:hAnsi="Times New Roman"/>
          <w:i w:val="0"/>
          <w:sz w:val="24"/>
          <w:szCs w:val="24"/>
        </w:rPr>
        <w:t>Блок С</w:t>
      </w:r>
      <w:bookmarkEnd w:id="16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 xml:space="preserve">% заданий предложенного </w:t>
            </w:r>
            <w:r w:rsidRPr="00CA5F5F">
              <w:rPr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1. Полнота выполнения </w:t>
            </w:r>
            <w:r w:rsidRPr="001428F9">
              <w:rPr>
                <w:szCs w:val="24"/>
              </w:rPr>
              <w:lastRenderedPageBreak/>
              <w:t>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</w:t>
            </w:r>
            <w:r w:rsidRPr="001428F9">
              <w:rPr>
                <w:szCs w:val="24"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D" w:rsidRDefault="00B1575D">
      <w:r>
        <w:separator/>
      </w:r>
    </w:p>
  </w:endnote>
  <w:endnote w:type="continuationSeparator" w:id="0">
    <w:p w:rsidR="00B1575D" w:rsidRDefault="00B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EndPr/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1E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D" w:rsidRDefault="00B1575D">
      <w:r>
        <w:separator/>
      </w:r>
    </w:p>
  </w:footnote>
  <w:footnote w:type="continuationSeparator" w:id="0">
    <w:p w:rsidR="00B1575D" w:rsidRDefault="00B1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11F58"/>
    <w:rsid w:val="00217BC3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6D1FA6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7F48A4"/>
    <w:rsid w:val="00813BEA"/>
    <w:rsid w:val="0082532F"/>
    <w:rsid w:val="0084796C"/>
    <w:rsid w:val="008544D5"/>
    <w:rsid w:val="0086592D"/>
    <w:rsid w:val="0089180E"/>
    <w:rsid w:val="008921E2"/>
    <w:rsid w:val="008B094F"/>
    <w:rsid w:val="00914A32"/>
    <w:rsid w:val="00916371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C0EEE"/>
    <w:rsid w:val="00AD78E8"/>
    <w:rsid w:val="00B1575D"/>
    <w:rsid w:val="00B60304"/>
    <w:rsid w:val="00BC1808"/>
    <w:rsid w:val="00BE5B8E"/>
    <w:rsid w:val="00C330BB"/>
    <w:rsid w:val="00C41E19"/>
    <w:rsid w:val="00C4759D"/>
    <w:rsid w:val="00C55DA4"/>
    <w:rsid w:val="00C75CDE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352A-F9F7-43EC-831A-4073A0D3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13161</Words>
  <Characters>75020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2021-11-24T12:03:00Z</dcterms:created>
  <dcterms:modified xsi:type="dcterms:W3CDTF">2021-11-24T12:04:00Z</dcterms:modified>
</cp:coreProperties>
</file>