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r>
        <w:rPr>
          <w:sz w:val="24"/>
          <w:szCs w:val="24"/>
        </w:rPr>
        <w:t>Минобрнауки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w:t>
      </w:r>
      <w:r w:rsidR="00B93B72">
        <w:rPr>
          <w:i/>
          <w:sz w:val="24"/>
          <w:szCs w:val="24"/>
        </w:rPr>
        <w:t>1</w:t>
      </w:r>
      <w:r>
        <w:rPr>
          <w:i/>
          <w:sz w:val="24"/>
          <w:szCs w:val="24"/>
        </w:rPr>
        <w:t xml:space="preserve"> </w:t>
      </w:r>
      <w:r w:rsidR="00B93B72">
        <w:rPr>
          <w:i/>
          <w:sz w:val="24"/>
          <w:szCs w:val="24"/>
        </w:rPr>
        <w:t>Налоговое планирование</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Программа академического бакалавриата</w:t>
      </w:r>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CF3E6B">
        <w:rPr>
          <w:sz w:val="24"/>
          <w:szCs w:val="24"/>
        </w:rPr>
        <w:t>8</w:t>
      </w:r>
      <w:bookmarkStart w:id="1" w:name="_GoBack"/>
      <w:bookmarkEnd w:id="1"/>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средств предназначен для контроля знаний обучающихся по направлению подготовки 38.03.01 Экономика по дисциплине «</w:t>
      </w:r>
      <w:r w:rsidRPr="000D35AB">
        <w:rPr>
          <w:sz w:val="24"/>
          <w:szCs w:val="24"/>
        </w:rPr>
        <w:t>Б.1.В.ДВ.9.</w:t>
      </w:r>
      <w:r w:rsidR="00B93B72">
        <w:rPr>
          <w:sz w:val="24"/>
          <w:szCs w:val="24"/>
        </w:rPr>
        <w:t>1</w:t>
      </w:r>
      <w:r w:rsidRPr="000D35AB">
        <w:rPr>
          <w:sz w:val="24"/>
          <w:szCs w:val="24"/>
        </w:rPr>
        <w:t xml:space="preserve"> Налогов</w:t>
      </w:r>
      <w:r w:rsidR="00B93B72">
        <w:rPr>
          <w:sz w:val="24"/>
          <w:szCs w:val="24"/>
        </w:rPr>
        <w:t>ое</w:t>
      </w:r>
      <w:r w:rsidRPr="000D35AB">
        <w:rPr>
          <w:sz w:val="24"/>
          <w:szCs w:val="24"/>
        </w:rPr>
        <w:t xml:space="preserve"> </w:t>
      </w:r>
      <w:r w:rsidR="00B93B72">
        <w:rPr>
          <w:sz w:val="24"/>
          <w:szCs w:val="24"/>
        </w:rPr>
        <w:t>планирование</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F83785">
        <w:rPr>
          <w:sz w:val="24"/>
          <w:u w:val="single"/>
        </w:rPr>
        <w:t>Е</w:t>
      </w:r>
      <w:r>
        <w:rPr>
          <w:sz w:val="24"/>
          <w:u w:val="single"/>
        </w:rPr>
        <w:t xml:space="preserve">.В. </w:t>
      </w:r>
      <w:r w:rsidR="00F83785">
        <w:rPr>
          <w:sz w:val="24"/>
          <w:u w:val="single"/>
        </w:rPr>
        <w:t>Фрол</w:t>
      </w:r>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B93B72" w:rsidRPr="000424C9" w:rsidRDefault="00B93B72" w:rsidP="00B93B72">
            <w:pPr>
              <w:pStyle w:val="ReportMain"/>
              <w:suppressAutoHyphens/>
              <w:jc w:val="both"/>
              <w:rPr>
                <w:b/>
                <w:u w:val="single"/>
              </w:rPr>
            </w:pPr>
            <w:r w:rsidRPr="000424C9">
              <w:rPr>
                <w:b/>
                <w:u w:val="single"/>
              </w:rPr>
              <w:t xml:space="preserve">Знать: </w:t>
            </w:r>
          </w:p>
          <w:p w:rsidR="003B45FA" w:rsidRPr="00B93B72" w:rsidRDefault="00B93B72" w:rsidP="003B45FA">
            <w:pPr>
              <w:pStyle w:val="ReportMain"/>
              <w:suppressAutoHyphens/>
              <w:jc w:val="both"/>
            </w:pPr>
            <w:r w:rsidRPr="000424C9">
              <w:t>- порядок организации налогового планирования, методику и особенности планирования основных видов н</w:t>
            </w:r>
            <w:r>
              <w:t xml:space="preserve">алогов в бюджетную систему РФ;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B93B72" w:rsidRPr="000424C9" w:rsidRDefault="00B93B72" w:rsidP="00B93B72">
            <w:pPr>
              <w:pStyle w:val="ReportMain"/>
              <w:suppressAutoHyphens/>
              <w:jc w:val="both"/>
              <w:rPr>
                <w:b/>
                <w:u w:val="single"/>
              </w:rPr>
            </w:pPr>
            <w:r w:rsidRPr="000424C9">
              <w:rPr>
                <w:b/>
                <w:u w:val="single"/>
              </w:rPr>
              <w:t xml:space="preserve">Уметь: </w:t>
            </w:r>
          </w:p>
          <w:p w:rsidR="003B45FA" w:rsidRPr="00B93B72" w:rsidRDefault="00B93B72" w:rsidP="003B45FA">
            <w:pPr>
              <w:pStyle w:val="ReportMain"/>
              <w:suppressAutoHyphens/>
              <w:jc w:val="both"/>
            </w:pPr>
            <w:r w:rsidRPr="000424C9">
              <w:t>- выполнять и обосновывать необходимые расчеты величины и ст</w:t>
            </w:r>
            <w:r>
              <w:t xml:space="preserve">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B93B72" w:rsidRPr="00B93B72" w:rsidRDefault="00B93B72" w:rsidP="00B93B72">
            <w:pPr>
              <w:pStyle w:val="ReportMain"/>
              <w:suppressAutoHyphens/>
              <w:jc w:val="both"/>
              <w:rPr>
                <w:b/>
                <w:szCs w:val="24"/>
                <w:u w:val="single"/>
              </w:rPr>
            </w:pPr>
            <w:r w:rsidRPr="00B93B72">
              <w:rPr>
                <w:b/>
                <w:szCs w:val="24"/>
                <w:u w:val="single"/>
              </w:rPr>
              <w:t xml:space="preserve">Владеть: </w:t>
            </w:r>
          </w:p>
          <w:p w:rsidR="003B45FA" w:rsidRPr="00577903" w:rsidRDefault="00B93B72" w:rsidP="00B93B72">
            <w:pPr>
              <w:suppressAutoHyphens/>
              <w:rPr>
                <w:b/>
                <w:sz w:val="24"/>
                <w:szCs w:val="24"/>
                <w:u w:val="single"/>
                <w:lang w:eastAsia="ru-RU"/>
              </w:rPr>
            </w:pPr>
            <w:r w:rsidRPr="00B93B72">
              <w:rPr>
                <w:sz w:val="24"/>
                <w:szCs w:val="24"/>
              </w:rPr>
              <w:t>- навыками самостоятельного применения теоретических основ налогового планирования доходов бюджетов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B93B72">
        <w:trPr>
          <w:trHeight w:val="1538"/>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Знать: </w:t>
            </w:r>
          </w:p>
          <w:p w:rsidR="003B45FA" w:rsidRPr="003B45FA" w:rsidRDefault="00B93B72" w:rsidP="00577903">
            <w:pPr>
              <w:pStyle w:val="ReportMain"/>
              <w:suppressAutoHyphens/>
              <w:jc w:val="both"/>
            </w:pPr>
            <w:r>
              <w:t xml:space="preserve">- основы построения долгосрочной и краткосрочной налоговой политики и налогового планирования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Уметь: </w:t>
            </w:r>
          </w:p>
          <w:p w:rsidR="00B93B72" w:rsidRDefault="00B93B72" w:rsidP="00B93B72">
            <w:pPr>
              <w:pStyle w:val="ReportMain"/>
              <w:suppressAutoHyphens/>
              <w:jc w:val="both"/>
            </w:pPr>
            <w:r>
              <w:t xml:space="preserve">- рассчитывать финансовые показатели деятельности компании; </w:t>
            </w:r>
          </w:p>
          <w:p w:rsidR="00B93B72" w:rsidRDefault="00B93B72" w:rsidP="00B93B72">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B93B72"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B93B72">
        <w:trPr>
          <w:trHeight w:val="1454"/>
        </w:trPr>
        <w:tc>
          <w:tcPr>
            <w:tcW w:w="1097" w:type="pct"/>
            <w:vMerge/>
          </w:tcPr>
          <w:p w:rsidR="003B45FA" w:rsidRPr="00FD32F8" w:rsidRDefault="003B45FA" w:rsidP="003B45FA">
            <w:pPr>
              <w:pStyle w:val="a6"/>
              <w:rPr>
                <w:sz w:val="24"/>
                <w:szCs w:val="24"/>
              </w:rPr>
            </w:pPr>
          </w:p>
        </w:tc>
        <w:tc>
          <w:tcPr>
            <w:tcW w:w="2048" w:type="pct"/>
          </w:tcPr>
          <w:p w:rsidR="00B93B72" w:rsidRPr="00FD32F8" w:rsidRDefault="00B93B72" w:rsidP="00B93B72">
            <w:pPr>
              <w:pStyle w:val="ReportMain"/>
              <w:suppressAutoHyphens/>
              <w:jc w:val="both"/>
              <w:rPr>
                <w:b/>
                <w:u w:val="single"/>
              </w:rPr>
            </w:pPr>
            <w:r w:rsidRPr="00FD32F8">
              <w:rPr>
                <w:b/>
                <w:u w:val="single"/>
              </w:rPr>
              <w:t xml:space="preserve">Владеть: </w:t>
            </w:r>
          </w:p>
          <w:p w:rsidR="00B93B72" w:rsidRDefault="00B93B72" w:rsidP="00B93B72">
            <w:pPr>
              <w:pStyle w:val="ReportMain"/>
              <w:suppressAutoHyphens/>
              <w:jc w:val="both"/>
            </w:pPr>
            <w:r>
              <w:t xml:space="preserve">- методами расчёта показателей; </w:t>
            </w:r>
          </w:p>
          <w:p w:rsidR="003B45FA" w:rsidRPr="00150707" w:rsidRDefault="00B93B72" w:rsidP="00B93B72">
            <w:pPr>
              <w:pStyle w:val="ReportMain"/>
              <w:suppressAutoHyphens/>
              <w:jc w:val="both"/>
              <w:rPr>
                <w:b/>
                <w:u w:val="single"/>
              </w:rPr>
            </w:pPr>
            <w:r>
              <w:t>- методикой разработки различных форм налоговых планов.</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 А</w:t>
      </w:r>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lastRenderedPageBreak/>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 Теоретические основы построения налоговой системыгосударства с рыночной экономикой заложены в работах: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нескрытая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производство и продажа в обход установленных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учета,но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регистрационный номер организации, присваиваемый при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28. Налоговая реформа направлена на: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недоимка + отсроченные платежи + платежи,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действующих налогах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методологическое обеспечение правил ведения бухгалтерского учета для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города(района).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отсутствие средств на расчетного счете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r w:rsidRPr="00577903">
        <w:t>направленного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макро-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lastRenderedPageBreak/>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макро-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«вестминстерского»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отличающиеся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взимаемые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Б)методика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шений об избежании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«вестминстерской»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А)налоговый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В)механизм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Г)план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Б)налоговый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б) действие налогоплательщика не соответствует закону, налоговые платежи производятся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для: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К какой доктрине относится следующая характеристика: существо действий должно превалировать над незначительными упущениями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B93B72" w:rsidRPr="000424C9">
        <w:rPr>
          <w:b/>
          <w:szCs w:val="22"/>
        </w:rPr>
        <w:t>Государственное налоговое планирование</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lastRenderedPageBreak/>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полеорганизации:характеристика,параметры,использование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Антиоффшорное</w:t>
      </w:r>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B93B72" w:rsidRPr="000424C9">
        <w:rPr>
          <w:b/>
          <w:szCs w:val="22"/>
        </w:rPr>
        <w:t>Государственное налоговое планирование</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w:t>
      </w:r>
      <w:r w:rsidRPr="00577903">
        <w:rPr>
          <w:sz w:val="24"/>
          <w:szCs w:val="24"/>
        </w:rPr>
        <w:lastRenderedPageBreak/>
        <w:t>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По способу взимания налоги подразделяются на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1</w:t>
      </w:r>
      <w:r w:rsidR="003C7623" w:rsidRPr="00577903">
        <w:rPr>
          <w:sz w:val="24"/>
          <w:szCs w:val="24"/>
        </w:rPr>
        <w:t>1</w:t>
      </w:r>
      <w:r w:rsidRPr="00577903">
        <w:rPr>
          <w:sz w:val="24"/>
          <w:szCs w:val="24"/>
        </w:rPr>
        <w:t>. Определите первоочередные задачи налоговой  политики на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B93B72" w:rsidRPr="000424C9">
        <w:rPr>
          <w:b/>
          <w:szCs w:val="22"/>
        </w:rPr>
        <w:t>Налоговое планирование в организации</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млн.руб.,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Дебиторскую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убыток.Контролирующий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убытка.Оцените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фирме Ветта. Срок платежа по договору – 30 марта 2015 года. Недожидаясь срока платежа, фирма Альфа 20 марта 2015 года уступилафирме С по договору цессии задолженность фирмы Ветта за 200 000рублей. В каком размере убыток от этой операции у цедента будетуменьшать налогооблагаемую прибыль? Для упрощения задачисуммы указаны без НДС.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года.Рассчитайте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Проанализируйте целесообразность проведенияописываемой операции оптимизации на основе совокупных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На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доходов,принимаемых в целях исчисления налога на прибыль 200 тыс. </w:t>
      </w:r>
      <w:r w:rsidRPr="00577903">
        <w:rPr>
          <w:rFonts w:eastAsiaTheme="minorHAnsi"/>
          <w:sz w:val="24"/>
          <w:szCs w:val="24"/>
        </w:rPr>
        <w:lastRenderedPageBreak/>
        <w:t>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макро-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t>а) валовый налоговый ресурс</w:t>
      </w:r>
    </w:p>
    <w:p w:rsidR="007730AB" w:rsidRDefault="007730AB" w:rsidP="007730AB">
      <w:pPr>
        <w:pStyle w:val="a6"/>
        <w:jc w:val="both"/>
        <w:rPr>
          <w:sz w:val="24"/>
          <w:szCs w:val="24"/>
        </w:rPr>
      </w:pPr>
      <w:r>
        <w:rPr>
          <w:sz w:val="24"/>
          <w:szCs w:val="24"/>
        </w:rPr>
        <w:t>б)</w:t>
      </w:r>
      <w:r>
        <w:rPr>
          <w:b/>
          <w:sz w:val="24"/>
          <w:szCs w:val="24"/>
        </w:rPr>
        <w:t xml:space="preserve"> </w:t>
      </w:r>
      <w:r>
        <w:rPr>
          <w:sz w:val="24"/>
          <w:szCs w:val="24"/>
        </w:rPr>
        <w:t>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lastRenderedPageBreak/>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продукт в промышленности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фактически поступившая величина ВВП – 89562,44 млрд р.;</w:t>
      </w:r>
    </w:p>
    <w:p w:rsidR="007730AB" w:rsidRDefault="007730AB" w:rsidP="007730AB">
      <w:pPr>
        <w:pStyle w:val="a6"/>
        <w:jc w:val="both"/>
        <w:rPr>
          <w:sz w:val="24"/>
          <w:szCs w:val="24"/>
        </w:rPr>
      </w:pPr>
      <w:r>
        <w:rPr>
          <w:sz w:val="24"/>
          <w:szCs w:val="24"/>
        </w:rPr>
        <w:t>- расходы по взиманию налогов и сборов – 625,86 млрд р.;</w:t>
      </w:r>
    </w:p>
    <w:p w:rsidR="007730AB" w:rsidRDefault="007730AB" w:rsidP="007730AB">
      <w:pPr>
        <w:pStyle w:val="a6"/>
        <w:jc w:val="both"/>
        <w:rPr>
          <w:sz w:val="24"/>
          <w:szCs w:val="24"/>
        </w:rPr>
      </w:pPr>
      <w:r>
        <w:rPr>
          <w:sz w:val="24"/>
          <w:szCs w:val="24"/>
        </w:rPr>
        <w:t>- фактическая величина всех поступивших налоговых платежей – 7452,93 млрд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B93B72" w:rsidRPr="00A64EAF">
        <w:rPr>
          <w:b/>
          <w:szCs w:val="22"/>
        </w:rPr>
        <w:t>Государственное налоговое планирование</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внутреннее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B93B72" w:rsidRPr="00A64EAF">
        <w:rPr>
          <w:b/>
          <w:szCs w:val="22"/>
        </w:rPr>
        <w:t>Налоговое планирование в организации</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Понятие и цели налогового планирования. </w:t>
      </w:r>
    </w:p>
    <w:p w:rsidR="00B93B72" w:rsidRPr="0001765D" w:rsidRDefault="00B93B72" w:rsidP="00B93B72">
      <w:pPr>
        <w:numPr>
          <w:ilvl w:val="0"/>
          <w:numId w:val="29"/>
        </w:numPr>
        <w:tabs>
          <w:tab w:val="left" w:pos="1134"/>
        </w:tabs>
        <w:ind w:left="0" w:firstLine="709"/>
        <w:jc w:val="both"/>
        <w:rPr>
          <w:szCs w:val="24"/>
        </w:rPr>
      </w:pPr>
      <w:r w:rsidRPr="0001765D">
        <w:rPr>
          <w:szCs w:val="24"/>
        </w:rPr>
        <w:t>Содержание государственного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Проблемы налогового планирования и прогнозирования.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 xml:space="preserve">Международное </w:t>
      </w:r>
      <w:r>
        <w:rPr>
          <w:szCs w:val="24"/>
        </w:rPr>
        <w:t>налогообложение</w:t>
      </w:r>
      <w:r w:rsidRPr="0001765D">
        <w:rPr>
          <w:szCs w:val="24"/>
        </w:rPr>
        <w:t>. Особенности налогового планирования в зарубежных странах.</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Международные договоры по вопросам </w:t>
      </w:r>
      <w:r>
        <w:rPr>
          <w:bCs/>
          <w:iCs/>
          <w:szCs w:val="24"/>
        </w:rPr>
        <w:t>налогообложения</w:t>
      </w:r>
      <w:r w:rsidRPr="0001765D">
        <w:rPr>
          <w:bCs/>
          <w:iCs/>
          <w:szCs w:val="24"/>
        </w:rPr>
        <w:t>.</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Международное налоговое планирование.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bCs/>
          <w:iCs/>
          <w:szCs w:val="24"/>
        </w:rPr>
      </w:pPr>
      <w:r w:rsidRPr="0001765D">
        <w:rPr>
          <w:bCs/>
          <w:iCs/>
          <w:szCs w:val="24"/>
        </w:rPr>
        <w:t xml:space="preserve">Оффшорное </w:t>
      </w:r>
      <w:r>
        <w:rPr>
          <w:bCs/>
          <w:iCs/>
          <w:szCs w:val="24"/>
        </w:rPr>
        <w:t>налогообложение.</w:t>
      </w:r>
    </w:p>
    <w:p w:rsidR="00B93B72" w:rsidRPr="0001765D" w:rsidRDefault="00B93B72" w:rsidP="00B93B72">
      <w:pPr>
        <w:numPr>
          <w:ilvl w:val="0"/>
          <w:numId w:val="29"/>
        </w:numPr>
        <w:shd w:val="clear" w:color="auto" w:fill="FFFFFF"/>
        <w:tabs>
          <w:tab w:val="left" w:pos="1134"/>
        </w:tabs>
        <w:autoSpaceDE w:val="0"/>
        <w:autoSpaceDN w:val="0"/>
        <w:adjustRightInd w:val="0"/>
        <w:ind w:left="0" w:firstLine="709"/>
        <w:jc w:val="both"/>
        <w:rPr>
          <w:szCs w:val="24"/>
        </w:rPr>
      </w:pPr>
      <w:r w:rsidRPr="0001765D">
        <w:rPr>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Fonts w:ascii="Times New Roman" w:hAnsi="Times New Roman"/>
        </w:rPr>
        <w:t>Процесс планирования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Классификация видов планирования налоговых доходов.</w:t>
      </w:r>
    </w:p>
    <w:p w:rsidR="00B93B72" w:rsidRPr="0001765D" w:rsidRDefault="00B93B72" w:rsidP="00B93B72">
      <w:pPr>
        <w:pStyle w:val="Style6"/>
        <w:widowControl/>
        <w:numPr>
          <w:ilvl w:val="0"/>
          <w:numId w:val="29"/>
        </w:numPr>
        <w:tabs>
          <w:tab w:val="left" w:pos="1134"/>
        </w:tabs>
        <w:spacing w:line="240" w:lineRule="auto"/>
        <w:ind w:left="0" w:firstLine="709"/>
        <w:rPr>
          <w:rStyle w:val="FontStyle16"/>
          <w:rFonts w:ascii="Times New Roman" w:hAnsi="Times New Roman"/>
        </w:rPr>
      </w:pPr>
      <w:r w:rsidRPr="0001765D">
        <w:rPr>
          <w:rStyle w:val="FontStyle16"/>
          <w:rFonts w:ascii="Times New Roman" w:hAnsi="Times New Roman"/>
        </w:rPr>
        <w:t>Принципы планирования и прогнозирования налоговых доходов.</w:t>
      </w:r>
    </w:p>
    <w:p w:rsidR="00B93B72" w:rsidRPr="0001765D" w:rsidRDefault="00B93B72" w:rsidP="00B93B72">
      <w:pPr>
        <w:pStyle w:val="Style3"/>
        <w:widowControl/>
        <w:numPr>
          <w:ilvl w:val="0"/>
          <w:numId w:val="29"/>
        </w:numPr>
        <w:tabs>
          <w:tab w:val="left" w:pos="1134"/>
        </w:tabs>
        <w:spacing w:line="240" w:lineRule="auto"/>
        <w:ind w:left="0" w:firstLine="709"/>
        <w:rPr>
          <w:rStyle w:val="FontStyle12"/>
        </w:rPr>
      </w:pPr>
      <w:r w:rsidRPr="0001765D">
        <w:rPr>
          <w:rStyle w:val="FontStyle12"/>
        </w:rPr>
        <w:t>Методы планирования налоговых поступлений.</w:t>
      </w:r>
    </w:p>
    <w:p w:rsidR="00B93B72" w:rsidRPr="0001765D" w:rsidRDefault="00B93B72" w:rsidP="00B93B72">
      <w:pPr>
        <w:pStyle w:val="Style7"/>
        <w:widowControl/>
        <w:numPr>
          <w:ilvl w:val="0"/>
          <w:numId w:val="29"/>
        </w:numPr>
        <w:tabs>
          <w:tab w:val="left" w:pos="1134"/>
        </w:tabs>
        <w:spacing w:line="240" w:lineRule="auto"/>
        <w:ind w:left="0" w:firstLine="709"/>
        <w:rPr>
          <w:rStyle w:val="FontStyle14"/>
        </w:rPr>
      </w:pPr>
      <w:r w:rsidRPr="0001765D">
        <w:rPr>
          <w:rStyle w:val="FontStyle14"/>
        </w:rPr>
        <w:t>Методы прогнозирования налоговых поступлений.</w:t>
      </w:r>
    </w:p>
    <w:p w:rsidR="00B93B72" w:rsidRPr="0001765D" w:rsidRDefault="00B93B72" w:rsidP="00B93B72">
      <w:pPr>
        <w:pStyle w:val="Style2"/>
        <w:widowControl/>
        <w:numPr>
          <w:ilvl w:val="0"/>
          <w:numId w:val="29"/>
        </w:numPr>
        <w:tabs>
          <w:tab w:val="left" w:pos="1134"/>
        </w:tabs>
        <w:spacing w:line="240" w:lineRule="auto"/>
        <w:ind w:left="0" w:firstLine="709"/>
        <w:rPr>
          <w:rStyle w:val="FontStyle20"/>
          <w:iCs/>
        </w:rPr>
      </w:pPr>
      <w:r w:rsidRPr="0001765D">
        <w:rPr>
          <w:rStyle w:val="FontStyle11"/>
          <w:i w:val="0"/>
        </w:rPr>
        <w:t>Особенности краткосрочного и среднесрочного прогнозирования и планирования налоговых доходов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21"/>
          <w:rFonts w:ascii="Times New Roman" w:hAnsi="Times New Roman"/>
          <w:b w:val="0"/>
        </w:rPr>
      </w:pPr>
      <w:r w:rsidRPr="0001765D">
        <w:rPr>
          <w:rStyle w:val="FontStyle21"/>
          <w:rFonts w:ascii="Times New Roman" w:hAnsi="Times New Roman"/>
          <w:b w:val="0"/>
        </w:rPr>
        <w:t>Общегосударственное налоговое планирование и его этапы.</w:t>
      </w:r>
    </w:p>
    <w:p w:rsidR="00B93B72" w:rsidRPr="0001765D" w:rsidRDefault="00B93B72" w:rsidP="00B93B72">
      <w:pPr>
        <w:pStyle w:val="Style8"/>
        <w:widowControl/>
        <w:numPr>
          <w:ilvl w:val="0"/>
          <w:numId w:val="29"/>
        </w:numPr>
        <w:tabs>
          <w:tab w:val="left" w:pos="1134"/>
        </w:tabs>
        <w:spacing w:line="240" w:lineRule="auto"/>
        <w:ind w:left="0" w:firstLine="709"/>
        <w:rPr>
          <w:rStyle w:val="FontStyle20"/>
        </w:rPr>
      </w:pPr>
      <w:r w:rsidRPr="0001765D">
        <w:rPr>
          <w:rStyle w:val="FontStyle20"/>
        </w:rPr>
        <w:t>Методика комплексного планирования и прогнозирования налоговых поступлений.</w:t>
      </w:r>
    </w:p>
    <w:p w:rsidR="00B93B72" w:rsidRPr="0001765D" w:rsidRDefault="00B93B72" w:rsidP="00B93B72">
      <w:pPr>
        <w:numPr>
          <w:ilvl w:val="0"/>
          <w:numId w:val="29"/>
        </w:numPr>
        <w:tabs>
          <w:tab w:val="left" w:pos="1134"/>
        </w:tabs>
        <w:ind w:left="0" w:firstLine="709"/>
        <w:jc w:val="both"/>
        <w:rPr>
          <w:szCs w:val="24"/>
        </w:rPr>
      </w:pPr>
      <w:r w:rsidRPr="0001765D">
        <w:rPr>
          <w:szCs w:val="24"/>
        </w:rPr>
        <w:t>Планирование поступлений налога на прибыль.</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НДС</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НДФЛ</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акцизов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НДПИ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водного налога и сборов за пользование объектами животного мира и водными биологическими ресурсами.</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региональных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Планирование поступлений местных налогов</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 xml:space="preserve">Планирование единого налога при применении </w:t>
      </w:r>
      <w:r>
        <w:rPr>
          <w:rStyle w:val="FontStyle13"/>
        </w:rPr>
        <w:t>специальных налоговых режимов</w:t>
      </w:r>
      <w:r w:rsidRPr="0001765D">
        <w:rPr>
          <w:rStyle w:val="FontStyle13"/>
        </w:rPr>
        <w:t>.</w:t>
      </w:r>
    </w:p>
    <w:p w:rsidR="00B93B72" w:rsidRPr="0001765D" w:rsidRDefault="00B93B72" w:rsidP="00B93B72">
      <w:pPr>
        <w:pStyle w:val="Style1"/>
        <w:widowControl/>
        <w:numPr>
          <w:ilvl w:val="0"/>
          <w:numId w:val="29"/>
        </w:numPr>
        <w:tabs>
          <w:tab w:val="left" w:pos="1134"/>
        </w:tabs>
        <w:spacing w:line="240" w:lineRule="auto"/>
        <w:ind w:left="0" w:firstLine="709"/>
        <w:rPr>
          <w:rStyle w:val="FontStyle13"/>
        </w:rPr>
      </w:pPr>
      <w:r w:rsidRPr="0001765D">
        <w:rPr>
          <w:rStyle w:val="FontStyle13"/>
        </w:rPr>
        <w:t>Значение показателя налоговой нагрузки при планировании налоговых поступлений.</w:t>
      </w:r>
    </w:p>
    <w:p w:rsidR="00B93B72" w:rsidRPr="0001765D" w:rsidRDefault="00B93B72" w:rsidP="00B93B72">
      <w:pPr>
        <w:pStyle w:val="Style1"/>
        <w:widowControl/>
        <w:numPr>
          <w:ilvl w:val="0"/>
          <w:numId w:val="29"/>
        </w:numPr>
        <w:tabs>
          <w:tab w:val="left" w:pos="1134"/>
        </w:tabs>
        <w:spacing w:line="240" w:lineRule="auto"/>
        <w:ind w:left="0" w:firstLine="709"/>
        <w:rPr>
          <w:rStyle w:val="FontStyle12"/>
        </w:rPr>
      </w:pPr>
      <w:r w:rsidRPr="0001765D">
        <w:rPr>
          <w:rStyle w:val="FontStyle12"/>
        </w:rPr>
        <w:t>Факторы оказывающие влияние на формирование структуры налогового потенциала региона.</w:t>
      </w:r>
    </w:p>
    <w:p w:rsidR="00B93B72" w:rsidRPr="0001765D" w:rsidRDefault="00B93B72" w:rsidP="00B93B72">
      <w:pPr>
        <w:pStyle w:val="Style5"/>
        <w:widowControl/>
        <w:numPr>
          <w:ilvl w:val="0"/>
          <w:numId w:val="29"/>
        </w:numPr>
        <w:tabs>
          <w:tab w:val="left" w:pos="547"/>
          <w:tab w:val="left" w:pos="1134"/>
        </w:tabs>
        <w:spacing w:line="240" w:lineRule="auto"/>
        <w:ind w:left="0" w:firstLine="709"/>
        <w:jc w:val="both"/>
        <w:rPr>
          <w:rStyle w:val="FontStyle23"/>
        </w:rPr>
      </w:pPr>
      <w:r w:rsidRPr="0001765D">
        <w:rPr>
          <w:rStyle w:val="FontStyle23"/>
        </w:rPr>
        <w:t>Факторы, определяющие налоговый потенциал организации.</w:t>
      </w:r>
    </w:p>
    <w:p w:rsidR="00B93B72" w:rsidRPr="0001765D" w:rsidRDefault="00B93B72" w:rsidP="00B93B72">
      <w:pPr>
        <w:pStyle w:val="Style5"/>
        <w:widowControl/>
        <w:numPr>
          <w:ilvl w:val="0"/>
          <w:numId w:val="29"/>
        </w:numPr>
        <w:tabs>
          <w:tab w:val="left" w:pos="0"/>
          <w:tab w:val="left" w:pos="1134"/>
        </w:tabs>
        <w:spacing w:line="240" w:lineRule="auto"/>
        <w:ind w:left="0" w:firstLine="709"/>
        <w:jc w:val="both"/>
        <w:rPr>
          <w:rStyle w:val="FontStyle12"/>
        </w:rPr>
      </w:pPr>
      <w:r w:rsidRPr="0001765D">
        <w:rPr>
          <w:rStyle w:val="FontStyle12"/>
        </w:rPr>
        <w:t>Налоговый потенциал региона: понятие, особенности определения.</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формирования налоговых доходов.</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t>Методы оценки налогового потенциала региона на основе показателей экономической активности региона.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23"/>
        </w:rPr>
      </w:pPr>
      <w:r w:rsidRPr="0001765D">
        <w:rPr>
          <w:rStyle w:val="FontStyle23"/>
        </w:rPr>
        <w:lastRenderedPageBreak/>
        <w:t>Проблемы применения методов оценки налогового потенциала регионов и перспективы разработки нового научно-методологического подхода.</w:t>
      </w:r>
    </w:p>
    <w:p w:rsidR="00B93B72" w:rsidRPr="0001765D" w:rsidRDefault="00B93B72" w:rsidP="00B93B72">
      <w:pPr>
        <w:pStyle w:val="Style2"/>
        <w:widowControl/>
        <w:numPr>
          <w:ilvl w:val="0"/>
          <w:numId w:val="29"/>
        </w:numPr>
        <w:tabs>
          <w:tab w:val="left" w:pos="1134"/>
        </w:tabs>
        <w:spacing w:line="240" w:lineRule="auto"/>
        <w:ind w:left="0" w:firstLine="709"/>
        <w:rPr>
          <w:rStyle w:val="FontStyle12"/>
        </w:rPr>
      </w:pPr>
      <w:r w:rsidRPr="0001765D">
        <w:rPr>
          <w:rStyle w:val="FontStyle12"/>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B93B72" w:rsidRPr="0001765D" w:rsidRDefault="00B93B72" w:rsidP="00B93B72">
      <w:pPr>
        <w:pStyle w:val="Style5"/>
        <w:widowControl/>
        <w:numPr>
          <w:ilvl w:val="0"/>
          <w:numId w:val="29"/>
        </w:numPr>
        <w:tabs>
          <w:tab w:val="left" w:pos="1134"/>
        </w:tabs>
        <w:spacing w:line="240" w:lineRule="auto"/>
        <w:ind w:left="0" w:firstLine="709"/>
        <w:jc w:val="both"/>
        <w:rPr>
          <w:rStyle w:val="FontStyle11"/>
          <w:i w:val="0"/>
          <w:iCs w:val="0"/>
        </w:rPr>
      </w:pPr>
      <w:r w:rsidRPr="0001765D">
        <w:rPr>
          <w:rStyle w:val="FontStyle13"/>
        </w:rPr>
        <w:t>Состав и структура информационного обеспечения планирования налоговых поступлений</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Налоговый паспорт региона: понятие, роль, структура.</w:t>
      </w:r>
    </w:p>
    <w:p w:rsidR="00B93B72" w:rsidRPr="0001765D" w:rsidRDefault="00B93B72" w:rsidP="00B93B72">
      <w:pPr>
        <w:pStyle w:val="Style3"/>
        <w:widowControl/>
        <w:numPr>
          <w:ilvl w:val="0"/>
          <w:numId w:val="29"/>
        </w:numPr>
        <w:tabs>
          <w:tab w:val="left" w:pos="1134"/>
        </w:tabs>
        <w:spacing w:line="240" w:lineRule="auto"/>
        <w:ind w:left="0" w:firstLine="709"/>
        <w:rPr>
          <w:rStyle w:val="FontStyle13"/>
        </w:rPr>
      </w:pPr>
      <w:r w:rsidRPr="0001765D">
        <w:rPr>
          <w:rStyle w:val="FontStyle13"/>
        </w:rPr>
        <w:t>Электронное досье налогоплательщика, как информационно-аналитическая база по крупнейшим налогоплательщикам.</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Законодательная основа планирования налоговых доходов бюджета.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Изменения бюджетного законодательства в области планирования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федеральный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бюджет субъекта.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Состав, структура и динамика поступления налогов и сборов в местный  бюджет.</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Использование автоматизированных информационных систем управления бюджетным процессом при планировании налоговых доходов.</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Эволюция налогового планирования.</w:t>
      </w:r>
    </w:p>
    <w:p w:rsidR="00B93B72" w:rsidRPr="0001765D" w:rsidRDefault="00B93B72" w:rsidP="00B93B72">
      <w:pPr>
        <w:numPr>
          <w:ilvl w:val="0"/>
          <w:numId w:val="29"/>
        </w:numPr>
        <w:tabs>
          <w:tab w:val="left" w:pos="1134"/>
        </w:tabs>
        <w:ind w:left="0" w:firstLine="709"/>
        <w:jc w:val="both"/>
        <w:rPr>
          <w:szCs w:val="24"/>
        </w:rPr>
      </w:pPr>
      <w:r w:rsidRPr="0001765D">
        <w:rPr>
          <w:szCs w:val="24"/>
        </w:rPr>
        <w:t>Налоговое планирование как составной элемент налогового управления.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Понятие и сущность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Содержание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Направления и способы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Принципы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Виды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Этапы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Методы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Пределы налогового планирования в системе правового обеспечения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Инструменты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Учетная политика как базовый инструмент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Налоговая нагрузка организации и методы расчета ее уровня.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Система показателей результативности налогового планирования в организациях.</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корпоративного налогового планирования.</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Организация документооборота налогового планирования в организации.</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Налоговое планирование в системе фин. менеджмента.</w:t>
      </w:r>
    </w:p>
    <w:p w:rsidR="00B93B72" w:rsidRPr="0001765D" w:rsidRDefault="00B93B72" w:rsidP="00B93B72">
      <w:pPr>
        <w:pStyle w:val="Style5"/>
        <w:widowControl/>
        <w:numPr>
          <w:ilvl w:val="0"/>
          <w:numId w:val="29"/>
        </w:numPr>
        <w:tabs>
          <w:tab w:val="left" w:pos="509"/>
          <w:tab w:val="left" w:pos="1134"/>
        </w:tabs>
        <w:spacing w:line="240" w:lineRule="auto"/>
        <w:ind w:left="0" w:firstLine="709"/>
        <w:jc w:val="both"/>
        <w:rPr>
          <w:rStyle w:val="FontStyle12"/>
        </w:rPr>
      </w:pPr>
      <w:r w:rsidRPr="0001765D">
        <w:rPr>
          <w:rStyle w:val="FontStyle12"/>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Глубина / полнота 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 xml:space="preserve">Самостоятельность </w:t>
            </w:r>
            <w:r w:rsidRPr="00CF672F">
              <w:rPr>
                <w:rStyle w:val="34"/>
                <w:sz w:val="24"/>
                <w:szCs w:val="24"/>
                <w:u w:val="none"/>
              </w:rPr>
              <w:lastRenderedPageBreak/>
              <w:t>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lastRenderedPageBreak/>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r w:rsidRPr="005F4034">
              <w:rPr>
                <w:sz w:val="24"/>
                <w:szCs w:val="24"/>
              </w:rPr>
              <w:t>в системе электронного обучения Мoodle.</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w:t>
            </w:r>
            <w:r w:rsidRPr="005F4034">
              <w:rPr>
                <w:sz w:val="24"/>
                <w:szCs w:val="24"/>
              </w:rPr>
              <w:lastRenderedPageBreak/>
              <w:t>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lastRenderedPageBreak/>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CF3E6B">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D35AB"/>
    <w:rsid w:val="000E092C"/>
    <w:rsid w:val="0010086A"/>
    <w:rsid w:val="001117A1"/>
    <w:rsid w:val="00151923"/>
    <w:rsid w:val="00183BBC"/>
    <w:rsid w:val="00197CC5"/>
    <w:rsid w:val="001C0889"/>
    <w:rsid w:val="001E753D"/>
    <w:rsid w:val="00211AA4"/>
    <w:rsid w:val="002153B1"/>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93B72"/>
    <w:rsid w:val="00BA4373"/>
    <w:rsid w:val="00BE3D11"/>
    <w:rsid w:val="00BE5B8E"/>
    <w:rsid w:val="00C41E19"/>
    <w:rsid w:val="00C504A7"/>
    <w:rsid w:val="00C80EC9"/>
    <w:rsid w:val="00C91F23"/>
    <w:rsid w:val="00CB62A8"/>
    <w:rsid w:val="00CE0EA1"/>
    <w:rsid w:val="00CF0187"/>
    <w:rsid w:val="00CF3E6B"/>
    <w:rsid w:val="00CF672F"/>
    <w:rsid w:val="00D067BD"/>
    <w:rsid w:val="00D078A1"/>
    <w:rsid w:val="00D432A8"/>
    <w:rsid w:val="00D54A70"/>
    <w:rsid w:val="00D579B1"/>
    <w:rsid w:val="00D85556"/>
    <w:rsid w:val="00E13ECF"/>
    <w:rsid w:val="00E26DC8"/>
    <w:rsid w:val="00E64219"/>
    <w:rsid w:val="00E7452D"/>
    <w:rsid w:val="00EE3CB0"/>
    <w:rsid w:val="00F307B9"/>
    <w:rsid w:val="00F83785"/>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4018-C401-4EC0-BCB7-32908424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25</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70</cp:revision>
  <cp:lastPrinted>2019-11-06T07:03:00Z</cp:lastPrinted>
  <dcterms:created xsi:type="dcterms:W3CDTF">2017-09-07T03:49:00Z</dcterms:created>
  <dcterms:modified xsi:type="dcterms:W3CDTF">2019-11-22T06:25:00Z</dcterms:modified>
</cp:coreProperties>
</file>