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44334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A1557"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6C3227">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6C3227"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инновационные технологии эксплуатации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способы сбора и обработки информации о надежности автомобилей в эксплуатации, методов оценки полученных результатов и их систе-матизации;</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пери-од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данные, показатели и результаты работы по</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текущего ремонта и технического обслуживания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27. Неисправность по мере ее нарастания может привести к:</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30. Понятие отказа является одним из главных в:</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Гамма-процентным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202"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2. способность деталей сопротивляться изнашиванию и определенных условиях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при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3. удобство проведения ТО и Р,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68. Технологические методы обеспечения надежности сводятся к:</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достижению показателей и параметров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88. Измерение диагностических параметров осуществляется по:</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3. общая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3. диагностика проводимая как до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1. определении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2. измерении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color w:val="FF0000"/>
          <w:sz w:val="28"/>
          <w:lang w:eastAsia="ru-RU"/>
        </w:rPr>
      </w:pPr>
      <w:r w:rsidRPr="00794EB5">
        <w:rPr>
          <w:color w:val="FF0000"/>
          <w:sz w:val="28"/>
          <w:lang w:eastAsia="ru-RU"/>
        </w:rPr>
        <w:t>106. Какие виды технической диагностики входят в комплекс ТО-2, ТР:</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131. Средства диагностирования подразделяются на:</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133. Комплексными симптомами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134. Стенды для диагностики тормозов классифицируются на:</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экспертных оценок, моделирования, статистический.</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144. Распределение Вейбулла применяется при:</w:t>
      </w:r>
    </w:p>
    <w:p w:rsidR="00794EB5" w:rsidRPr="00794EB5" w:rsidRDefault="00794EB5" w:rsidP="00794EB5">
      <w:pPr>
        <w:ind w:firstLine="567"/>
        <w:jc w:val="both"/>
        <w:rPr>
          <w:sz w:val="28"/>
          <w:szCs w:val="28"/>
          <w:lang w:eastAsia="ru-RU"/>
        </w:rPr>
      </w:pPr>
      <w:r w:rsidRPr="00794EB5">
        <w:rPr>
          <w:sz w:val="28"/>
          <w:lang w:eastAsia="ru-RU"/>
        </w:rPr>
        <w:t xml:space="preserve">1. </w:t>
      </w:r>
      <w:r w:rsidRPr="00794EB5">
        <w:rPr>
          <w:sz w:val="28"/>
          <w:szCs w:val="28"/>
          <w:lang w:eastAsia="ru-RU"/>
        </w:rPr>
        <w:t>прогнозировании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прогнозировании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3. наработка до отказа узлов и агрегатов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144. Особенности дорожного движения обусловлены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рас-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По характеру проявления отказы подразделяются на</w:t>
      </w:r>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По взаимосвязи отказы подразделяются на</w:t>
      </w:r>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на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докумен-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мини-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характеризу-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кон</w:t>
      </w:r>
      <w:r w:rsidR="00867BEB" w:rsidRPr="00867BEB">
        <w:rPr>
          <w:sz w:val="28"/>
          <w:szCs w:val="28"/>
        </w:rPr>
        <w:t>струкций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Физическая сущность процессов изменения надежности конструктивных элементов автомобилей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Кг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плановых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t>Раздел</w:t>
      </w:r>
      <w:r w:rsidR="00661658" w:rsidRPr="00661658">
        <w:t xml:space="preserve"> 3 </w:t>
      </w:r>
      <w:r w:rsidR="00862EA6" w:rsidRPr="00862EA6">
        <w:t>Физическая сущность процессов изменения надежности конструктивных элементов автомобилей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lastRenderedPageBreak/>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Рс1(t) =</w:t>
      </w:r>
    </w:p>
    <w:p w:rsidR="00557119" w:rsidRDefault="00557119" w:rsidP="00E86020">
      <w:pPr>
        <w:pStyle w:val="14"/>
      </w:pPr>
      <w:r>
        <w:t>= Рс2(t) = Рс3(t) = 0,90. С точки зрения надежности соединение машин в агрегате считается последовательным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Рд(х)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 xml:space="preserve">Определить вероятность безотказной работы Рд(х)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 xml:space="preserve">Определить вероятность безотказной работы Рд(х)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t>С целью повышения безопасности на автомобиле установлены две фары. Определить ВБР освещения дороги хотя бы одной фарой Р0(t)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lastRenderedPageBreak/>
        <w:t>Согласно правилам дорожного движения, автомобиль в ночное время должен иметь работоспособными не менее одной фары дальнего и ближнего света и переключатель. Определить ВБР и вероятность отказа освещения при условии Рфд1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Р1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Р1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Р1 = 0,90;</w:t>
      </w:r>
    </w:p>
    <w:p w:rsidR="00E86020" w:rsidRDefault="00E86020" w:rsidP="00E86020">
      <w:pPr>
        <w:pStyle w:val="14"/>
      </w:pPr>
      <w:r>
        <w:t>Р2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t>1(t) = 9</w:t>
      </w:r>
      <w:r>
        <w:separator/>
      </w:r>
      <w:r>
        <w:t>10–4 отк./мч. Определить ВБР ходовой части при наработке t = 200 мч и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lastRenderedPageBreak/>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m0/п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Р1 = Р4 = Р5 = 0,90; Р2 = 0,85; Р3 = 0,95?</w:t>
      </w:r>
    </w:p>
    <w:p w:rsidR="00E86020" w:rsidRDefault="00E86020" w:rsidP="00E86020">
      <w:pPr>
        <w:pStyle w:val="14"/>
      </w:pPr>
      <w:r>
        <w:t>Как изменится ВБР линии если бункер-накопитель установить после транспортера 3? Емкость накопителя равна сменной производительности линии и Р1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Кз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величину допускаемых напряжений (прочность) необходимо задать материалу детали (при </w:t>
      </w:r>
      <w:r>
        <w:separator/>
      </w:r>
      <w:r>
        <w:t>п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r>
        <w:lastRenderedPageBreak/>
        <w:t xml:space="preserve">отклонении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r>
        <w:t>п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мч и = 1500 мч. Определить гамма-процентный ресурс при </w:t>
      </w:r>
      <w:r>
        <w:separator/>
      </w:r>
      <w:r>
        <w:t xml:space="preserve"> = 80%.</w:t>
      </w:r>
    </w:p>
    <w:p w:rsidR="00F91F11" w:rsidRDefault="00F91F11" w:rsidP="00F91F11">
      <w:pPr>
        <w:pStyle w:val="14"/>
      </w:pPr>
      <w:r>
        <w:t xml:space="preserve">Для тракторов МТЗ установлен норматив гамма-процентного ресурса R = 10 000 мч (при </w:t>
      </w:r>
      <w:r>
        <w:separator/>
      </w:r>
      <w:r>
        <w:t xml:space="preserve"> = 80%). Определить средний ресурс тракторов, если = 2000 мч.</w:t>
      </w:r>
    </w:p>
    <w:p w:rsidR="00F91F11" w:rsidRDefault="00F91F11" w:rsidP="00F91F11">
      <w:pPr>
        <w:pStyle w:val="14"/>
      </w:pPr>
      <w:r>
        <w:t>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Rср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Rср.д = 5000 мч при среднем квадратичном отклонении = 800 мч. Трансмиссия—Rср.тр = 6000 мч, = 1000 мч. Ходовая часть — Rср.xч = 4000 мч, = 700 мч. Определить средний ресурс трактора и его рассеяние.</w:t>
      </w:r>
    </w:p>
    <w:p w:rsidR="00F91F11" w:rsidRDefault="00F91F11" w:rsidP="00F91F11">
      <w:pPr>
        <w:pStyle w:val="14"/>
      </w:pPr>
      <w:r>
        <w:t>Установлено требование обеспечить следующие показатели долговечности отремонтированных тракторов: Rср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Определить оптимальный ресурс трактора, цена которого 280 тыс. руб., удельные затраты на техническое обслуживание и ремонт составляют 60 руб. на</w:t>
      </w:r>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гамма-процентной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 ?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Три основные критерия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последова тельным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32" w:rsidRDefault="00622332" w:rsidP="0042736D">
      <w:r>
        <w:separator/>
      </w:r>
    </w:p>
  </w:endnote>
  <w:endnote w:type="continuationSeparator" w:id="0">
    <w:p w:rsidR="00622332" w:rsidRDefault="0062233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A1557">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32" w:rsidRDefault="00622332" w:rsidP="0042736D">
      <w:r>
        <w:separator/>
      </w:r>
    </w:p>
  </w:footnote>
  <w:footnote w:type="continuationSeparator" w:id="0">
    <w:p w:rsidR="00622332" w:rsidRDefault="0062233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19FD"/>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57119"/>
    <w:rsid w:val="005737A0"/>
    <w:rsid w:val="005D7662"/>
    <w:rsid w:val="00622332"/>
    <w:rsid w:val="0062691E"/>
    <w:rsid w:val="00627B52"/>
    <w:rsid w:val="006546AC"/>
    <w:rsid w:val="00661658"/>
    <w:rsid w:val="006C1B79"/>
    <w:rsid w:val="006C3227"/>
    <w:rsid w:val="006F1A1E"/>
    <w:rsid w:val="00794EB5"/>
    <w:rsid w:val="007A0787"/>
    <w:rsid w:val="007B03BA"/>
    <w:rsid w:val="007B1C42"/>
    <w:rsid w:val="008209CA"/>
    <w:rsid w:val="00862EA6"/>
    <w:rsid w:val="00867BEB"/>
    <w:rsid w:val="00915715"/>
    <w:rsid w:val="00996203"/>
    <w:rsid w:val="00A55ECD"/>
    <w:rsid w:val="00AB1991"/>
    <w:rsid w:val="00AB784E"/>
    <w:rsid w:val="00B00299"/>
    <w:rsid w:val="00BA1557"/>
    <w:rsid w:val="00BD5F05"/>
    <w:rsid w:val="00BF3EAC"/>
    <w:rsid w:val="00C418C7"/>
    <w:rsid w:val="00C77F4D"/>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12570</Words>
  <Characters>71649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28</cp:revision>
  <cp:lastPrinted>2019-11-11T07:14:00Z</cp:lastPrinted>
  <dcterms:created xsi:type="dcterms:W3CDTF">2019-10-22T05:43:00Z</dcterms:created>
  <dcterms:modified xsi:type="dcterms:W3CDTF">2020-01-30T06:17:00Z</dcterms:modified>
</cp:coreProperties>
</file>