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Pr="00BD4ABE" w:rsidRDefault="00DF52CF" w:rsidP="00DF52CF">
      <w:pPr>
        <w:pStyle w:val="ReportHead"/>
        <w:suppressAutoHyphens/>
        <w:rPr>
          <w:i/>
          <w:sz w:val="24"/>
          <w:u w:val="single"/>
          <w:lang w:val="en-US"/>
        </w:rPr>
      </w:pPr>
      <w:r>
        <w:rPr>
          <w:i/>
          <w:sz w:val="24"/>
          <w:u w:val="single"/>
        </w:rPr>
        <w:t xml:space="preserve"> Начальное образовани</w:t>
      </w:r>
      <w:r w:rsidR="00BD4ABE">
        <w:rPr>
          <w:i/>
          <w:sz w:val="24"/>
          <w:u w:val="single"/>
        </w:rPr>
        <w:t>е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0" w:rsidRDefault="00D939F0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992"/>
      </w:tblGrid>
      <w:tr w:rsidR="00745DCE" w:rsidRPr="005C70CF" w:rsidTr="00745DCE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45DCE" w:rsidRPr="005C70CF" w:rsidTr="00745DCE">
        <w:trPr>
          <w:trHeight w:val="811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ческого процесса. Обучение. Принципы обучения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9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45DCE">
              <w:rPr>
                <w:color w:val="242A2F"/>
                <w:sz w:val="28"/>
                <w:szCs w:val="28"/>
              </w:rPr>
              <w:t>Специфика обучения. Методы обучения. Формы обучения в современной парадигме образования.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Содержание, методы и формы воспитательной р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боты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rPr>
          <w:trHeight w:val="422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Планирование воспитательной работы. Педагог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ческая программа воспитания обучающихся и м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тодика ее проектирования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</w:rPr>
      </w:pP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45DCE" w:rsidRPr="00745DCE">
        <w:rPr>
          <w:rFonts w:eastAsia="Calibri"/>
          <w:b/>
          <w:color w:val="242A2F"/>
          <w:sz w:val="28"/>
          <w:szCs w:val="28"/>
        </w:rPr>
        <w:t>Специфика обучения. Методы обучения. Формы обучения в современной парадигме образования</w:t>
      </w:r>
    </w:p>
    <w:p w:rsidR="00E36D16" w:rsidRPr="00536036" w:rsidRDefault="00E36D16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45DCE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745DCE" w:rsidRPr="00536036" w:rsidRDefault="00745DCE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45DC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Педагогические технологии.</w:t>
      </w: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45DCE" w:rsidRPr="0065570B" w:rsidRDefault="00745DCE" w:rsidP="00745DCE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lastRenderedPageBreak/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</w:t>
      </w:r>
      <w:r w:rsidRPr="00536036">
        <w:rPr>
          <w:sz w:val="28"/>
          <w:szCs w:val="28"/>
        </w:rPr>
        <w:t>ормы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4405DD" w:rsidRPr="00F441E1" w:rsidRDefault="004405DD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Планирование воспитательной работы. Педагогическая пр</w:t>
      </w:r>
      <w:r w:rsidR="00F441E1" w:rsidRPr="00F441E1">
        <w:rPr>
          <w:rFonts w:eastAsia="Calibri"/>
          <w:b/>
          <w:bCs/>
          <w:iCs/>
          <w:sz w:val="28"/>
          <w:szCs w:val="28"/>
        </w:rPr>
        <w:t>о</w:t>
      </w:r>
      <w:r w:rsidR="00F441E1" w:rsidRPr="00F441E1">
        <w:rPr>
          <w:rFonts w:eastAsia="Calibri"/>
          <w:b/>
          <w:bCs/>
          <w:iCs/>
          <w:sz w:val="28"/>
          <w:szCs w:val="28"/>
        </w:rPr>
        <w:t>грамма воспитания обучающихся и методика ее проектирования</w:t>
      </w:r>
    </w:p>
    <w:p w:rsidR="004405DD" w:rsidRPr="00536036" w:rsidRDefault="004405DD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Планирование воспитательной работы на уровне начального общего образования.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Проектирование духовно-нравственного развития,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на уровне начального общего образования. </w:t>
      </w:r>
    </w:p>
    <w:p w:rsidR="003D055B" w:rsidRDefault="003D055B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Default="00F441E1" w:rsidP="00653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развития, воспитания обучающихся на уровне начального общего образования</w:t>
      </w:r>
      <w:r w:rsidR="003D055B">
        <w:rPr>
          <w:sz w:val="28"/>
          <w:szCs w:val="28"/>
        </w:rPr>
        <w:t>.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</w:t>
      </w:r>
      <w:r w:rsidR="003D055B">
        <w:rPr>
          <w:sz w:val="28"/>
          <w:szCs w:val="28"/>
        </w:rPr>
        <w:t>а</w:t>
      </w:r>
      <w:r w:rsidR="003D055B">
        <w:rPr>
          <w:sz w:val="28"/>
          <w:szCs w:val="28"/>
        </w:rPr>
        <w:t>тельного учреждения, семьи и других институтов общества. Ключевые во</w:t>
      </w:r>
      <w:r w:rsidR="003D055B">
        <w:rPr>
          <w:sz w:val="28"/>
          <w:szCs w:val="28"/>
        </w:rPr>
        <w:t>с</w:t>
      </w:r>
      <w:r w:rsidR="003D055B">
        <w:rPr>
          <w:sz w:val="28"/>
          <w:szCs w:val="28"/>
        </w:rPr>
        <w:t>питательные задачи в современной парадигме образования, базовые наци</w:t>
      </w:r>
      <w:r w:rsidR="003D055B">
        <w:rPr>
          <w:sz w:val="28"/>
          <w:szCs w:val="28"/>
        </w:rPr>
        <w:t>о</w:t>
      </w:r>
      <w:r w:rsidR="003D055B">
        <w:rPr>
          <w:sz w:val="28"/>
          <w:szCs w:val="28"/>
        </w:rPr>
        <w:t>нальные ценности российского общества.</w:t>
      </w: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lastRenderedPageBreak/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ром указываются все разделы и темы изучаемой дисциплины, а также виды занятий и планируемый объем в академических часах, а также необходимо </w:t>
      </w:r>
      <w:r w:rsidRPr="00536036">
        <w:rPr>
          <w:sz w:val="28"/>
          <w:szCs w:val="28"/>
        </w:rPr>
        <w:lastRenderedPageBreak/>
        <w:t>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5B" w:rsidRDefault="00CF535B" w:rsidP="00817BE6">
      <w:pPr>
        <w:spacing w:after="0" w:line="240" w:lineRule="auto"/>
      </w:pPr>
      <w:r>
        <w:separator/>
      </w:r>
    </w:p>
  </w:endnote>
  <w:endnote w:type="continuationSeparator" w:id="0">
    <w:p w:rsidR="00CF535B" w:rsidRDefault="00CF535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C023A" w:rsidRDefault="00923B6D">
        <w:pPr>
          <w:pStyle w:val="a7"/>
          <w:jc w:val="center"/>
        </w:pPr>
        <w:fldSimple w:instr="PAGE   \* MERGEFORMAT">
          <w:r w:rsidR="00BD4ABE">
            <w:rPr>
              <w:noProof/>
            </w:rPr>
            <w:t>2</w:t>
          </w:r>
        </w:fldSimple>
      </w:p>
    </w:sdtContent>
  </w:sdt>
  <w:p w:rsidR="001C023A" w:rsidRDefault="001C02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5B" w:rsidRDefault="00CF535B" w:rsidP="00817BE6">
      <w:pPr>
        <w:spacing w:after="0" w:line="240" w:lineRule="auto"/>
      </w:pPr>
      <w:r>
        <w:separator/>
      </w:r>
    </w:p>
  </w:footnote>
  <w:footnote w:type="continuationSeparator" w:id="0">
    <w:p w:rsidR="00CF535B" w:rsidRDefault="00CF535B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6D1C"/>
    <w:rsid w:val="001B1A33"/>
    <w:rsid w:val="001C023A"/>
    <w:rsid w:val="001C4828"/>
    <w:rsid w:val="001C77A8"/>
    <w:rsid w:val="001D161B"/>
    <w:rsid w:val="001D570E"/>
    <w:rsid w:val="001D74F6"/>
    <w:rsid w:val="001D7710"/>
    <w:rsid w:val="001E35C7"/>
    <w:rsid w:val="001F0E30"/>
    <w:rsid w:val="00201374"/>
    <w:rsid w:val="00203340"/>
    <w:rsid w:val="0020537E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40D7"/>
    <w:rsid w:val="00536036"/>
    <w:rsid w:val="005364C3"/>
    <w:rsid w:val="005560B4"/>
    <w:rsid w:val="00567B98"/>
    <w:rsid w:val="005737B6"/>
    <w:rsid w:val="00577215"/>
    <w:rsid w:val="00581A7F"/>
    <w:rsid w:val="005838FD"/>
    <w:rsid w:val="005940CA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16EC"/>
    <w:rsid w:val="006D457F"/>
    <w:rsid w:val="006D669F"/>
    <w:rsid w:val="006E22BA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3B6D"/>
    <w:rsid w:val="00925282"/>
    <w:rsid w:val="00927B5D"/>
    <w:rsid w:val="00932648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4ABE"/>
    <w:rsid w:val="00BD52F2"/>
    <w:rsid w:val="00BD6D4C"/>
    <w:rsid w:val="00BE2DBF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CF535B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39F0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94264"/>
    <w:rsid w:val="00E963F7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8F0D-545B-466E-A5AD-8644653E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31</Pages>
  <Words>9690</Words>
  <Characters>55235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283</cp:revision>
  <cp:lastPrinted>2017-06-15T07:49:00Z</cp:lastPrinted>
  <dcterms:created xsi:type="dcterms:W3CDTF">2016-10-09T16:26:00Z</dcterms:created>
  <dcterms:modified xsi:type="dcterms:W3CDTF">2019-10-21T12:58:00Z</dcterms:modified>
</cp:coreProperties>
</file>