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2678CC" w:rsidRDefault="002678CC" w:rsidP="002678CC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  <w:bookmarkStart w:id="0" w:name="_GoBack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D531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2678CC">
        <w:rPr>
          <w:sz w:val="24"/>
          <w:szCs w:val="28"/>
        </w:rPr>
        <w:t>2020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2678CC" w:rsidRDefault="002678CC" w:rsidP="002678CC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2678CC" w:rsidRDefault="002678CC" w:rsidP="002678C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2678CC" w:rsidRDefault="002678CC" w:rsidP="002678C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2678CC" w:rsidRDefault="002678CC" w:rsidP="002678C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2678CC" w:rsidRDefault="002678CC" w:rsidP="002678C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678CC" w:rsidRDefault="002678CC" w:rsidP="002678C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E238A0" w:rsidRDefault="002678CC" w:rsidP="002678CC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r w:rsidR="00915715"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C40C29" w:rsidRPr="006D5315" w:rsidRDefault="00C40C29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C40C29" w:rsidRPr="006D5315" w:rsidRDefault="00C40C29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C40C29" w:rsidRPr="006D5315" w:rsidRDefault="00C40C29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C40C29" w:rsidRPr="006D5315" w:rsidRDefault="00C40C29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40C29" w:rsidRPr="006D5315" w:rsidRDefault="00C40C29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C40C29" w:rsidRPr="006D5315" w:rsidRDefault="00C40C29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C40C29" w:rsidRPr="006D5315" w:rsidRDefault="00C40C29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40C29" w:rsidRPr="006D5315" w:rsidRDefault="00C40C29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C40C29" w:rsidRPr="006D5315" w:rsidRDefault="00C40C29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1.Топлива для автомобилей по фазовому составу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</w:t>
      </w:r>
      <w:proofErr w:type="gramStart"/>
      <w:r w:rsidRPr="003E418D">
        <w:rPr>
          <w:sz w:val="24"/>
          <w:szCs w:val="24"/>
        </w:rPr>
        <w:t>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оказывать сопротивление перемещению молекул относительно </w:t>
      </w:r>
      <w:proofErr w:type="gramStart"/>
      <w:r w:rsidRPr="003E418D">
        <w:rPr>
          <w:sz w:val="24"/>
          <w:szCs w:val="24"/>
        </w:rPr>
        <w:t>друг-друга</w:t>
      </w:r>
      <w:proofErr w:type="gram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Температура, при которой </w:t>
      </w:r>
      <w:proofErr w:type="gramStart"/>
      <w:r w:rsidRPr="003E418D">
        <w:rPr>
          <w:sz w:val="24"/>
          <w:szCs w:val="24"/>
        </w:rPr>
        <w:t>вода, растворенная в топливе кристаллизуется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 Альтернативные топлива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2. Топлива нефтяного происхождения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Изложенное</w:t>
      </w:r>
      <w:proofErr w:type="gramEnd"/>
      <w:r w:rsidRPr="003E418D">
        <w:rPr>
          <w:sz w:val="24"/>
          <w:szCs w:val="24"/>
        </w:rPr>
        <w:t xml:space="preserve">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</w:t>
      </w:r>
      <w:proofErr w:type="gramStart"/>
      <w:r w:rsidRPr="003E418D">
        <w:rPr>
          <w:sz w:val="24"/>
          <w:szCs w:val="24"/>
        </w:rPr>
        <w:t>4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Антиокислительные присадки добавляют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Депрессорные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9.Противоизносные и противозадирные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7. Моторные масла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gramStart"/>
      <w:r w:rsidRPr="003E418D">
        <w:rPr>
          <w:sz w:val="24"/>
          <w:szCs w:val="24"/>
        </w:rPr>
        <w:t>А-</w:t>
      </w:r>
      <w:proofErr w:type="gramEnd"/>
      <w:r w:rsidRPr="003E418D">
        <w:rPr>
          <w:sz w:val="24"/>
          <w:szCs w:val="24"/>
        </w:rPr>
        <w:t xml:space="preserve">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В</w:t>
      </w:r>
      <w:proofErr w:type="gramEnd"/>
      <w:r w:rsidRPr="003E418D">
        <w:rPr>
          <w:sz w:val="24"/>
          <w:szCs w:val="24"/>
        </w:rPr>
        <w:t xml:space="preserve">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1121625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1121626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C40C29" w:rsidRDefault="00C40C29" w:rsidP="00C40C29">
      <w:pPr>
        <w:ind w:firstLine="851"/>
        <w:rPr>
          <w:sz w:val="24"/>
          <w:szCs w:val="24"/>
        </w:rPr>
      </w:pPr>
    </w:p>
    <w:p w:rsidR="00C40C29" w:rsidRDefault="00C40C29" w:rsidP="00C40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C40C29" w:rsidRDefault="00C40C29" w:rsidP="00C40C2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C40C29" w:rsidRDefault="00C40C29" w:rsidP="00C40C29">
      <w:pPr>
        <w:jc w:val="center"/>
        <w:rPr>
          <w:b/>
          <w:sz w:val="24"/>
          <w:szCs w:val="24"/>
        </w:rPr>
      </w:pPr>
    </w:p>
    <w:p w:rsidR="00C40C29" w:rsidRDefault="00C40C29" w:rsidP="00C40C29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C40C29" w:rsidRDefault="001261D8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 w:rsidR="00C40C29"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Расшифровать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C40C29" w:rsidRDefault="00C40C29" w:rsidP="00C40C29">
      <w:pPr>
        <w:pStyle w:val="ReportMain"/>
        <w:suppressAutoHyphens/>
        <w:ind w:firstLine="709"/>
        <w:jc w:val="both"/>
      </w:pPr>
    </w:p>
    <w:p w:rsidR="00C40C29" w:rsidRDefault="00C40C29" w:rsidP="00C40C29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</w:t>
      </w:r>
    </w:p>
    <w:p w:rsidR="00C40C29" w:rsidRDefault="00C40C29" w:rsidP="00C40C29">
      <w:pPr>
        <w:pStyle w:val="ReportMain"/>
        <w:suppressAutoHyphens/>
        <w:ind w:firstLine="709"/>
        <w:jc w:val="both"/>
      </w:pPr>
      <w:r>
        <w:t xml:space="preserve">Определение фракционного состава автомобильных бензинов  </w:t>
      </w:r>
    </w:p>
    <w:p w:rsidR="00C40C29" w:rsidRDefault="00C40C29" w:rsidP="00C40C29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>Смазочные масла</w:t>
      </w:r>
    </w:p>
    <w:p w:rsidR="00C40C29" w:rsidRDefault="00C40C29" w:rsidP="00C40C29">
      <w:pPr>
        <w:pStyle w:val="ReportMain"/>
        <w:suppressAutoHyphens/>
        <w:ind w:firstLine="709"/>
        <w:jc w:val="both"/>
      </w:pPr>
      <w:r>
        <w:t>Определение наличия воды в маслах</w:t>
      </w:r>
    </w:p>
    <w:p w:rsidR="00C40C29" w:rsidRDefault="00C40C29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C40C29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D8" w:rsidRDefault="001261D8" w:rsidP="0042736D">
      <w:r>
        <w:separator/>
      </w:r>
    </w:p>
  </w:endnote>
  <w:endnote w:type="continuationSeparator" w:id="0">
    <w:p w:rsidR="001261D8" w:rsidRDefault="001261D8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2678CC">
      <w:rPr>
        <w:noProof/>
        <w:sz w:val="28"/>
      </w:rPr>
      <w:t>28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D8" w:rsidRDefault="001261D8" w:rsidP="0042736D">
      <w:r>
        <w:separator/>
      </w:r>
    </w:p>
  </w:footnote>
  <w:footnote w:type="continuationSeparator" w:id="0">
    <w:p w:rsidR="001261D8" w:rsidRDefault="001261D8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61D8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678CC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4440"/>
    <w:rsid w:val="00797A84"/>
    <w:rsid w:val="007C4C37"/>
    <w:rsid w:val="007E3340"/>
    <w:rsid w:val="00846610"/>
    <w:rsid w:val="00860CF4"/>
    <w:rsid w:val="008F27A8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0C29"/>
    <w:rsid w:val="00C418C7"/>
    <w:rsid w:val="00C77F4D"/>
    <w:rsid w:val="00C87EC7"/>
    <w:rsid w:val="00D00C0D"/>
    <w:rsid w:val="00D02E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ACF-D89E-4439-B23D-D8D33EF1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49</cp:revision>
  <cp:lastPrinted>2019-04-11T16:05:00Z</cp:lastPrinted>
  <dcterms:created xsi:type="dcterms:W3CDTF">2017-08-24T05:01:00Z</dcterms:created>
  <dcterms:modified xsi:type="dcterms:W3CDTF">2020-01-21T08:21:00Z</dcterms:modified>
</cp:coreProperties>
</file>