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054AD5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027DC4">
        <w:rPr>
          <w:sz w:val="24"/>
        </w:rPr>
        <w:t>7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</w:t>
      </w:r>
      <w:r w:rsidR="00425419">
        <w:rPr>
          <w:sz w:val="24"/>
        </w:rPr>
        <w:t>Е.В. Фролова</w:t>
      </w:r>
      <w:r w:rsidRPr="002B093C">
        <w:rPr>
          <w:sz w:val="24"/>
        </w:rPr>
        <w:t xml:space="preserve">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</w:t>
      </w:r>
      <w:r w:rsidR="0042541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E833E4" w:rsidRPr="00E648ED" w:rsidRDefault="003056FB" w:rsidP="00E648ED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60" w:type="pct"/>
          </w:tcPr>
          <w:p w:rsidR="003056FB" w:rsidRPr="00152FCA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Start"/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142EDF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 А</w:t>
      </w:r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экономическая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перелив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«шоковая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перераспределение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Впервые о государственном внутреннем долге упоминается во время: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царствования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царствования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царствования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царствования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>1769 г</w:t>
        </w:r>
      </w:smartTag>
      <w:r w:rsidRPr="00F342C5">
        <w:rPr>
          <w:szCs w:val="24"/>
        </w:rPr>
        <w:t>.,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в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>1679 г</w:t>
        </w:r>
      </w:smartTag>
      <w:r w:rsidRPr="00F342C5">
        <w:rPr>
          <w:szCs w:val="24"/>
        </w:rPr>
        <w:t>.,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>1991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>1985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>1958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историческая;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классическая;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теории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r w:rsidRPr="00F342C5">
        <w:rPr>
          <w:szCs w:val="24"/>
        </w:rPr>
        <w:t>меркателисты</w:t>
      </w:r>
      <w:proofErr w:type="spell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 В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бездокументарной;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>)     записей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В связи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золотые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казначейские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золотые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жилищные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представительного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законодательного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 исполнительного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на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именные;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ордерные;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отзывные.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опционы,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фьючерсы,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нет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раз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ежегодно,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раз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8. Условия эмиссии ценных бумаг субъекта РФ подлежат регистрации 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органе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7D4ECC">
        <w:rPr>
          <w:rFonts w:ascii="Times New Roman" w:hAnsi="Times New Roman"/>
          <w:sz w:val="24"/>
          <w:szCs w:val="24"/>
        </w:rPr>
        <w:t xml:space="preserve">опросов и </w:t>
      </w:r>
      <w:r w:rsidR="00BD7B67" w:rsidRPr="00F342C5">
        <w:rPr>
          <w:rFonts w:ascii="Times New Roman" w:hAnsi="Times New Roman"/>
          <w:sz w:val="24"/>
          <w:szCs w:val="24"/>
        </w:rPr>
        <w:t>собеседовани</w:t>
      </w:r>
      <w:bookmarkEnd w:id="4"/>
      <w:r w:rsidR="007D4ECC">
        <w:rPr>
          <w:rFonts w:ascii="Times New Roman" w:hAnsi="Times New Roman"/>
          <w:sz w:val="24"/>
          <w:szCs w:val="24"/>
        </w:rPr>
        <w:t>й</w:t>
      </w:r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 xml:space="preserve">Блок </w:t>
      </w:r>
      <w:r w:rsidR="00DB49E3" w:rsidRPr="00F342C5">
        <w:rPr>
          <w:sz w:val="24"/>
          <w:szCs w:val="24"/>
        </w:rPr>
        <w:t>Б</w:t>
      </w:r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453CE" w:rsidRDefault="00633B3C" w:rsidP="003E32C1">
      <w:pPr>
        <w:tabs>
          <w:tab w:val="left" w:pos="993"/>
        </w:tabs>
        <w:spacing w:after="0" w:line="240" w:lineRule="auto"/>
        <w:ind w:firstLine="709"/>
        <w:jc w:val="both"/>
        <w:rPr>
          <w:bCs/>
          <w:szCs w:val="24"/>
        </w:rPr>
      </w:pPr>
      <w:r w:rsidRPr="00F342C5">
        <w:rPr>
          <w:b/>
          <w:szCs w:val="24"/>
        </w:rPr>
        <w:t>Б.0</w:t>
      </w:r>
      <w:r w:rsidRPr="00F342C5">
        <w:rPr>
          <w:szCs w:val="24"/>
        </w:rPr>
        <w:t xml:space="preserve"> </w:t>
      </w:r>
      <w:r w:rsidR="001453CE" w:rsidRPr="00273484">
        <w:rPr>
          <w:b/>
          <w:szCs w:val="24"/>
        </w:rPr>
        <w:t>Условия</w:t>
      </w:r>
      <w:r w:rsidRPr="00273484">
        <w:rPr>
          <w:b/>
          <w:szCs w:val="24"/>
        </w:rPr>
        <w:t xml:space="preserve"> контрольных работ </w:t>
      </w:r>
      <w:r w:rsidR="001453CE" w:rsidRPr="00273484">
        <w:rPr>
          <w:b/>
          <w:szCs w:val="24"/>
        </w:rPr>
        <w:t>для студентов заочной формы обучения</w:t>
      </w:r>
      <w:r w:rsidR="001453CE">
        <w:rPr>
          <w:szCs w:val="24"/>
        </w:rPr>
        <w:t xml:space="preserve"> </w:t>
      </w:r>
      <w:bookmarkStart w:id="6" w:name="_Toc445844537"/>
    </w:p>
    <w:p w:rsidR="00273484" w:rsidRDefault="00273484" w:rsidP="001453CE">
      <w:pPr>
        <w:pStyle w:val="ac"/>
        <w:ind w:firstLine="709"/>
        <w:jc w:val="both"/>
        <w:rPr>
          <w:bCs/>
          <w:sz w:val="24"/>
          <w:szCs w:val="24"/>
        </w:rPr>
      </w:pPr>
    </w:p>
    <w:p w:rsidR="00273484" w:rsidRPr="00273484" w:rsidRDefault="00273484" w:rsidP="001453CE">
      <w:pPr>
        <w:pStyle w:val="ac"/>
        <w:ind w:firstLine="709"/>
        <w:jc w:val="both"/>
        <w:rPr>
          <w:b/>
          <w:bCs/>
          <w:sz w:val="24"/>
          <w:szCs w:val="24"/>
        </w:rPr>
      </w:pPr>
      <w:r w:rsidRPr="00273484">
        <w:rPr>
          <w:b/>
          <w:bCs/>
          <w:sz w:val="24"/>
          <w:szCs w:val="24"/>
        </w:rPr>
        <w:t>Примерные условия контрольных работ:</w:t>
      </w:r>
    </w:p>
    <w:p w:rsidR="001453CE" w:rsidRPr="003E32C1" w:rsidRDefault="001453CE" w:rsidP="003E32C1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Вариант контрольной работы  для каждого студента определяется в соответствии с начал</w:t>
      </w:r>
      <w:r w:rsidRPr="003E32C1">
        <w:rPr>
          <w:szCs w:val="24"/>
        </w:rPr>
        <w:t>ь</w:t>
      </w:r>
      <w:r w:rsidRPr="003E32C1">
        <w:rPr>
          <w:szCs w:val="24"/>
        </w:rPr>
        <w:t xml:space="preserve">ной буквой фамилии студента.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Таблица 1 – Распределение вариантов контрольной работы среди студентов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№ варианта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Первая буква фамилии студента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А, </w:t>
            </w:r>
            <w:proofErr w:type="gramStart"/>
            <w:r w:rsidRPr="003E32C1">
              <w:rPr>
                <w:szCs w:val="24"/>
              </w:rPr>
              <w:t>Р</w:t>
            </w:r>
            <w:proofErr w:type="gramEnd"/>
            <w:r w:rsidRPr="003E32C1">
              <w:rPr>
                <w:szCs w:val="24"/>
              </w:rPr>
              <w:t>, З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И, </w:t>
            </w:r>
            <w:proofErr w:type="gramStart"/>
            <w:r w:rsidRPr="003E32C1">
              <w:rPr>
                <w:szCs w:val="24"/>
              </w:rPr>
              <w:t>Ш</w:t>
            </w:r>
            <w:proofErr w:type="gramEnd"/>
            <w:r w:rsidRPr="003E32C1">
              <w:rPr>
                <w:szCs w:val="24"/>
              </w:rPr>
              <w:t>, Ч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Б, С, </w:t>
            </w:r>
            <w:proofErr w:type="gramStart"/>
            <w:r w:rsidRPr="003E32C1">
              <w:rPr>
                <w:szCs w:val="24"/>
              </w:rPr>
              <w:t>П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К, </w:t>
            </w:r>
            <w:proofErr w:type="gramStart"/>
            <w:r w:rsidRPr="003E32C1">
              <w:rPr>
                <w:szCs w:val="24"/>
              </w:rPr>
              <w:t>Щ</w:t>
            </w:r>
            <w:proofErr w:type="gramEnd"/>
            <w:r w:rsidRPr="003E32C1">
              <w:rPr>
                <w:szCs w:val="24"/>
              </w:rPr>
              <w:t>, Ж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В, Т, </w:t>
            </w:r>
            <w:proofErr w:type="gramStart"/>
            <w:r w:rsidRPr="003E32C1">
              <w:rPr>
                <w:szCs w:val="24"/>
              </w:rPr>
              <w:t>Ц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Л,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  <w:r w:rsidRPr="003E32C1">
              <w:rPr>
                <w:szCs w:val="24"/>
              </w:rPr>
              <w:t xml:space="preserve"> О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Г, У, Е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М, Я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Д, Ф, Э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Н, Х,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1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lastRenderedPageBreak/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</w:t>
      </w:r>
      <w:r>
        <w:rPr>
          <w:szCs w:val="24"/>
        </w:rPr>
        <w:t xml:space="preserve">ов бюджета составляет 56785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р</w:t>
      </w:r>
      <w:r w:rsidRPr="003E32C1">
        <w:rPr>
          <w:szCs w:val="24"/>
        </w:rPr>
        <w:t>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6500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объем расходов данного бюд</w:t>
      </w:r>
      <w:r>
        <w:rPr>
          <w:szCs w:val="24"/>
        </w:rPr>
        <w:t>жета составляет 110890 млн руб.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2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1.Орган, осуществляющий управление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Центральный банк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Правительство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Федеральная комиссия по рынку ценных бумаг.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2.Условия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 Снижение или повышение процентной ставки дохода: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конверсия;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консолидация;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унификация.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рынка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Административные методы управления долгом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         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1560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17%, расходы планируются в размере 1675 тыс.</w:t>
      </w:r>
      <w:r>
        <w:rPr>
          <w:szCs w:val="24"/>
        </w:rPr>
        <w:t xml:space="preserve"> </w:t>
      </w:r>
      <w:r w:rsidRPr="003E32C1">
        <w:rPr>
          <w:szCs w:val="24"/>
        </w:rPr>
        <w:t>руб</w:t>
      </w:r>
      <w:proofErr w:type="gramStart"/>
      <w:r w:rsidRPr="003E32C1">
        <w:rPr>
          <w:szCs w:val="24"/>
        </w:rPr>
        <w:t>..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lastRenderedPageBreak/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3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1.Осущетсвление государственных и имущественных займов ведет </w:t>
      </w:r>
      <w:proofErr w:type="gramStart"/>
      <w:r w:rsidRPr="003E32C1">
        <w:rPr>
          <w:szCs w:val="24"/>
        </w:rPr>
        <w:t>к</w:t>
      </w:r>
      <w:proofErr w:type="gramEnd"/>
      <w:r w:rsidRPr="003E32C1">
        <w:rPr>
          <w:szCs w:val="24"/>
        </w:rPr>
        <w:t xml:space="preserve">: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получению процентов;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образованию государственного и муниципального долга;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погашению долга и получению процентов.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2.Установлен ли предельный срок погашения долговых обязательств РФ?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предельный срок не установлен;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не может превышать 30 лет;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установлен до 25 лет.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3.По форме займы могут быть: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 xml:space="preserve">а) </w:t>
      </w:r>
      <w:proofErr w:type="spellStart"/>
      <w:r w:rsidRPr="003E32C1">
        <w:rPr>
          <w:szCs w:val="24"/>
        </w:rPr>
        <w:t>безоблигационные</w:t>
      </w:r>
      <w:proofErr w:type="spellEnd"/>
      <w:r w:rsidRPr="003E32C1">
        <w:rPr>
          <w:szCs w:val="24"/>
        </w:rPr>
        <w:t>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целевые,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добровольные, принудительные.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 Прекращение обязательства по соглашению сторон о замене первоначального обязател</w:t>
      </w:r>
      <w:r w:rsidRPr="003E32C1">
        <w:rPr>
          <w:szCs w:val="24"/>
        </w:rPr>
        <w:t>ь</w:t>
      </w:r>
      <w:r w:rsidRPr="003E32C1">
        <w:rPr>
          <w:szCs w:val="24"/>
        </w:rPr>
        <w:t>ства, существующего между сторонами, другим обязательством между теми же лицами, пред</w:t>
      </w:r>
      <w:r w:rsidRPr="003E32C1">
        <w:rPr>
          <w:szCs w:val="24"/>
        </w:rPr>
        <w:t>у</w:t>
      </w:r>
      <w:r w:rsidRPr="003E32C1">
        <w:rPr>
          <w:szCs w:val="24"/>
        </w:rPr>
        <w:t>сматривающими иной предмет или способ исполнения – это: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дефолт;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новация;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аннулирование долга.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5.Условия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Аукцион как метод размещения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- </w:t>
      </w:r>
      <w:proofErr w:type="gramStart"/>
      <w:r w:rsidRPr="003E32C1">
        <w:rPr>
          <w:szCs w:val="24"/>
        </w:rPr>
        <w:t>Экономические методы</w:t>
      </w:r>
      <w:proofErr w:type="gramEnd"/>
      <w:r w:rsidRPr="003E32C1">
        <w:rPr>
          <w:szCs w:val="24"/>
        </w:rPr>
        <w:t xml:space="preserve"> управления долгом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в соответствии с Бюджетным кодексом РФ предельный объем дефицита, долга и расходов на его обслуживание по муниципальному образованию, используя нижеприведенные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726"/>
      </w:tblGrid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i/>
                <w:szCs w:val="24"/>
              </w:rPr>
              <w:t xml:space="preserve">  </w:t>
            </w:r>
            <w:r w:rsidRPr="003E32C1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Сумма, тыс. руб.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Доходы,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405493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в том числе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 xml:space="preserve">- налоговые 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222685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неналоговые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42577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140231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Расходы,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431530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Дефицит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26037</w:t>
            </w:r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Проанализируйте, соответствует ли требованиям Бюджетного кодекса РФ указанный в условиях дефицит бюджета.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 xml:space="preserve">, если номинал облигации 1000 руб., цена покупки – 850 руб., ГКО выпущена сроком на 6 месяцев. Инвестор приобрел 150 </w:t>
      </w:r>
      <w:r w:rsidRPr="003E32C1">
        <w:rPr>
          <w:szCs w:val="24"/>
        </w:rPr>
        <w:lastRenderedPageBreak/>
        <w:t>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4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Методы управления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рефинансирование, реструктуризация, аннулирование долга;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конверсия, консолидация, унификация;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все верно;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все неверно.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2. Внешние источники финансирования дефицита бюджета: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государственные займы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кредиты правительств иностранных государств, банков и компаний;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кредиты в валюте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кредиты международных организаций, предоставленные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д) бюджетные ссуды;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е) а, </w:t>
      </w:r>
      <w:proofErr w:type="gramStart"/>
      <w:r w:rsidRPr="003E32C1">
        <w:rPr>
          <w:szCs w:val="24"/>
        </w:rPr>
        <w:t>б</w:t>
      </w:r>
      <w:proofErr w:type="gramEnd"/>
      <w:r w:rsidRPr="003E32C1">
        <w:rPr>
          <w:szCs w:val="24"/>
        </w:rPr>
        <w:t>, в.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4. Как отразится на российской валюте падение курса доллара по отношению к евро?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удешевление рубля;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не отразится;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рубль станет дороже.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Классификация типов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Синдикат как метод размещения еврооблигаций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1340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27%.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         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облигации федерального займа</w:t>
      </w:r>
      <w:r w:rsidRPr="003E32C1">
        <w:rPr>
          <w:szCs w:val="24"/>
        </w:rPr>
        <w:t>, если номинал облиг</w:t>
      </w:r>
      <w:r w:rsidRPr="003E32C1">
        <w:rPr>
          <w:szCs w:val="24"/>
        </w:rPr>
        <w:t>а</w:t>
      </w:r>
      <w:r w:rsidRPr="003E32C1">
        <w:rPr>
          <w:szCs w:val="24"/>
        </w:rPr>
        <w:t>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</w:t>
      </w:r>
      <w:r w:rsidRPr="003E32C1">
        <w:rPr>
          <w:szCs w:val="24"/>
        </w:rPr>
        <w:t>о</w:t>
      </w:r>
      <w:r w:rsidRPr="003E32C1">
        <w:rPr>
          <w:szCs w:val="24"/>
        </w:rPr>
        <w:t>ходность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b/>
          <w:szCs w:val="24"/>
        </w:rPr>
        <w:br w:type="page"/>
      </w:r>
      <w:r w:rsidRPr="003E32C1">
        <w:rPr>
          <w:szCs w:val="24"/>
        </w:rPr>
        <w:lastRenderedPageBreak/>
        <w:t>Вариант 5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доходов бюджета составляет 56000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3E32C1">
        <w:rPr>
          <w:szCs w:val="24"/>
        </w:rPr>
        <w:t>руб.,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7</w:t>
      </w:r>
      <w:r>
        <w:rPr>
          <w:szCs w:val="24"/>
        </w:rPr>
        <w:t xml:space="preserve">500 млн </w:t>
      </w:r>
      <w:r w:rsidRPr="003E32C1">
        <w:rPr>
          <w:szCs w:val="24"/>
        </w:rPr>
        <w:t>руб., объем расходов данного бюджета составляет 1152</w:t>
      </w:r>
      <w:r>
        <w:rPr>
          <w:szCs w:val="24"/>
        </w:rPr>
        <w:t>90 млн руб.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абсолютный доход инвестора, если номинал облигации 1000 руб., цена покупки – 850 руб., </w:t>
      </w:r>
      <w:r>
        <w:rPr>
          <w:szCs w:val="24"/>
        </w:rPr>
        <w:t xml:space="preserve">облигации </w:t>
      </w:r>
      <w:r w:rsidRPr="003E32C1">
        <w:rPr>
          <w:szCs w:val="24"/>
        </w:rPr>
        <w:t xml:space="preserve">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</w:t>
      </w:r>
      <w:r w:rsidRPr="003E32C1">
        <w:rPr>
          <w:szCs w:val="24"/>
        </w:rPr>
        <w:t>е</w:t>
      </w:r>
      <w:r w:rsidRPr="003E32C1">
        <w:rPr>
          <w:szCs w:val="24"/>
        </w:rPr>
        <w:t>стор будет держать их до момента погашения.</w:t>
      </w:r>
    </w:p>
    <w:p w:rsidR="003E32C1" w:rsidRPr="003E32C1" w:rsidRDefault="003E32C1" w:rsidP="003E32C1"/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E648ED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</w:t>
      </w:r>
      <w:proofErr w:type="gramStart"/>
      <w:r w:rsidR="00666CA2" w:rsidRPr="00E648ED">
        <w:rPr>
          <w:szCs w:val="24"/>
        </w:rPr>
        <w:t>1</w:t>
      </w:r>
      <w:proofErr w:type="gramEnd"/>
      <w:r w:rsidRPr="00E648ED">
        <w:rPr>
          <w:szCs w:val="24"/>
        </w:rPr>
        <w:t xml:space="preserve"> </w:t>
      </w:r>
      <w:r w:rsidR="001C55B7" w:rsidRPr="00E648ED">
        <w:rPr>
          <w:szCs w:val="24"/>
        </w:rPr>
        <w:t>Расходы на обслуживание государственного долга составляют 1380 у.е. (68 % к о</w:t>
      </w:r>
      <w:r w:rsidR="001C55B7" w:rsidRPr="00E648ED">
        <w:rPr>
          <w:szCs w:val="24"/>
        </w:rPr>
        <w:t>б</w:t>
      </w:r>
      <w:r w:rsidR="001C55B7" w:rsidRPr="00E648ED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E648ED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2</w:t>
      </w:r>
      <w:proofErr w:type="gramStart"/>
      <w:r w:rsidRPr="00E648ED">
        <w:rPr>
          <w:szCs w:val="24"/>
        </w:rPr>
        <w:t xml:space="preserve"> С</w:t>
      </w:r>
      <w:proofErr w:type="gramEnd"/>
      <w:r w:rsidRPr="00E648ED">
        <w:rPr>
          <w:szCs w:val="24"/>
        </w:rPr>
        <w:t>оставить прогноз состояния федерального бюджета, если в текущем году ВВП с</w:t>
      </w:r>
      <w:r w:rsidRPr="00E648ED">
        <w:rPr>
          <w:szCs w:val="24"/>
        </w:rPr>
        <w:t>о</w:t>
      </w:r>
      <w:r w:rsidRPr="00E648ED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E648ED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3</w:t>
      </w:r>
      <w:r w:rsidRPr="00E648ED">
        <w:rPr>
          <w:szCs w:val="24"/>
        </w:rPr>
        <w:t xml:space="preserve"> 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E648ED">
        <w:rPr>
          <w:szCs w:val="24"/>
        </w:rPr>
        <w:t>о</w:t>
      </w:r>
      <w:r w:rsidRPr="00E648ED">
        <w:rPr>
          <w:szCs w:val="24"/>
        </w:rPr>
        <w:t>нальн</w:t>
      </w:r>
      <w:r w:rsidR="003E32C1" w:rsidRPr="00E648ED">
        <w:rPr>
          <w:szCs w:val="24"/>
        </w:rPr>
        <w:t xml:space="preserve">ых налогов составляет 56785 </w:t>
      </w:r>
      <w:proofErr w:type="gramStart"/>
      <w:r w:rsidR="003E32C1" w:rsidRPr="00E648ED">
        <w:rPr>
          <w:szCs w:val="24"/>
        </w:rPr>
        <w:t>млн</w:t>
      </w:r>
      <w:proofErr w:type="gramEnd"/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отчисления от федеральн</w:t>
      </w:r>
      <w:r w:rsidR="003E32C1" w:rsidRPr="00E648ED">
        <w:rPr>
          <w:szCs w:val="24"/>
        </w:rPr>
        <w:t xml:space="preserve">ых налогов и сборов – 41500 млн </w:t>
      </w:r>
      <w:r w:rsidRPr="00E648ED">
        <w:rPr>
          <w:szCs w:val="24"/>
        </w:rPr>
        <w:t>руб., безвозмездные поступления из федерального бюджета ожидаются в размере 6500 млн</w:t>
      </w:r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объем расходов данного бюд</w:t>
      </w:r>
      <w:r w:rsidR="003E32C1" w:rsidRPr="00E648ED">
        <w:rPr>
          <w:szCs w:val="24"/>
        </w:rPr>
        <w:t xml:space="preserve">жета составляет 110890 млн </w:t>
      </w:r>
      <w:r w:rsidR="00DD0741" w:rsidRPr="00E648ED">
        <w:rPr>
          <w:szCs w:val="24"/>
        </w:rPr>
        <w:t>руб.</w:t>
      </w:r>
    </w:p>
    <w:p w:rsidR="00DD0741" w:rsidRPr="00E648ED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E648ED" w:rsidRDefault="00875CC1" w:rsidP="00F342C5">
      <w:pPr>
        <w:spacing w:after="0" w:line="240" w:lineRule="auto"/>
        <w:jc w:val="both"/>
        <w:rPr>
          <w:rFonts w:eastAsia="Times New Roman"/>
          <w:szCs w:val="24"/>
        </w:rPr>
      </w:pPr>
    </w:p>
    <w:p w:rsidR="005F0955" w:rsidRPr="00E648ED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Задача1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</w:t>
      </w:r>
      <w:r w:rsidR="005F0955" w:rsidRPr="00E648ED">
        <w:rPr>
          <w:szCs w:val="24"/>
        </w:rPr>
        <w:t>е</w:t>
      </w:r>
      <w:r w:rsidR="005F0955" w:rsidRPr="00E648ED">
        <w:rPr>
          <w:szCs w:val="24"/>
        </w:rPr>
        <w:t>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875CC1" w:rsidRPr="00E648ED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</w:t>
      </w:r>
      <w:r w:rsidR="001C55B7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2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E648ED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3. Разграничьте по уровням бюджетной системы в соответствии </w:t>
      </w:r>
      <w:proofErr w:type="gramStart"/>
      <w:r w:rsidRPr="00E648ED">
        <w:rPr>
          <w:szCs w:val="24"/>
        </w:rPr>
        <w:t>с</w:t>
      </w:r>
      <w:proofErr w:type="gramEnd"/>
      <w:r w:rsidRPr="00E648ED">
        <w:rPr>
          <w:szCs w:val="24"/>
        </w:rPr>
        <w:t xml:space="preserve"> </w:t>
      </w:r>
      <w:proofErr w:type="gramStart"/>
      <w:r w:rsidRPr="00E648ED">
        <w:rPr>
          <w:szCs w:val="24"/>
        </w:rPr>
        <w:t>Бюджетным</w:t>
      </w:r>
      <w:proofErr w:type="gramEnd"/>
      <w:r w:rsidRPr="00E648ED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 xml:space="preserve">- </w:t>
      </w:r>
      <w:r w:rsidR="00666CA2" w:rsidRPr="00E648ED">
        <w:rPr>
          <w:szCs w:val="24"/>
        </w:rPr>
        <w:t xml:space="preserve">средства от размещения </w:t>
      </w:r>
      <w:proofErr w:type="spellStart"/>
      <w:r w:rsidR="00666CA2" w:rsidRPr="00E648ED">
        <w:rPr>
          <w:szCs w:val="24"/>
        </w:rPr>
        <w:t>еврооблигационных</w:t>
      </w:r>
      <w:proofErr w:type="spellEnd"/>
      <w:r w:rsidR="00666CA2" w:rsidRPr="00E648ED">
        <w:rPr>
          <w:szCs w:val="24"/>
        </w:rPr>
        <w:t xml:space="preserve"> займов РФ</w:t>
      </w:r>
      <w:r w:rsidRPr="00E648ED">
        <w:rPr>
          <w:szCs w:val="24"/>
        </w:rPr>
        <w:t>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субвенции из Фонда компенсаций РФ;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арендная плата за использование земель, находящихся в ведении органов местного сам</w:t>
      </w:r>
      <w:r w:rsidRPr="00E648ED">
        <w:rPr>
          <w:szCs w:val="24"/>
        </w:rPr>
        <w:t>о</w:t>
      </w:r>
      <w:r w:rsidRPr="00E648ED">
        <w:rPr>
          <w:szCs w:val="24"/>
        </w:rPr>
        <w:t>управления.</w:t>
      </w:r>
    </w:p>
    <w:p w:rsidR="005F0955" w:rsidRPr="00E648ED" w:rsidRDefault="005F0955" w:rsidP="00F342C5">
      <w:pPr>
        <w:spacing w:after="0" w:line="240" w:lineRule="auto"/>
        <w:ind w:firstLine="567"/>
        <w:jc w:val="both"/>
        <w:rPr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 4</w:t>
      </w:r>
      <w:proofErr w:type="gramStart"/>
      <w:r w:rsidRPr="00E648ED">
        <w:rPr>
          <w:szCs w:val="24"/>
        </w:rPr>
        <w:t xml:space="preserve"> О</w:t>
      </w:r>
      <w:proofErr w:type="gramEnd"/>
      <w:r w:rsidRPr="00E648ED">
        <w:rPr>
          <w:szCs w:val="24"/>
        </w:rPr>
        <w:t>цените абсолютную</w:t>
      </w:r>
      <w:r w:rsidRPr="00F342C5">
        <w:rPr>
          <w:szCs w:val="24"/>
        </w:rPr>
        <w:t xml:space="preserve">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E648ED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1</w:t>
      </w:r>
      <w:proofErr w:type="gramStart"/>
      <w:r w:rsidR="005F0955" w:rsidRPr="00E648ED">
        <w:rPr>
          <w:szCs w:val="24"/>
        </w:rPr>
        <w:t xml:space="preserve"> </w:t>
      </w:r>
      <w:r w:rsidR="005F0955" w:rsidRPr="00E648ED">
        <w:rPr>
          <w:color w:val="000000"/>
          <w:szCs w:val="24"/>
        </w:rPr>
        <w:t>О</w:t>
      </w:r>
      <w:proofErr w:type="gramEnd"/>
      <w:r w:rsidR="005F0955" w:rsidRPr="00E648ED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E648ED">
        <w:rPr>
          <w:szCs w:val="24"/>
        </w:rPr>
        <w:t>Экспорт товаров с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ставляет 35005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ед., Граждане страны получают доход от иностранных инвестиций в виде пр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центных выплат из-за рубежа в размере 600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Импорт товаров составляет 11458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</w:t>
      </w:r>
    </w:p>
    <w:p w:rsidR="00875CC1" w:rsidRPr="00E648ED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E648ED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2 </w:t>
      </w:r>
      <w:r w:rsidR="005F0955" w:rsidRPr="00E648ED">
        <w:rPr>
          <w:szCs w:val="24"/>
        </w:rPr>
        <w:t>Реальная  ставка процента равна 15%, темп роста реального ВНП равен 22%, соо</w:t>
      </w:r>
      <w:r w:rsidR="005F0955" w:rsidRPr="00E648ED">
        <w:rPr>
          <w:szCs w:val="24"/>
        </w:rPr>
        <w:t>т</w:t>
      </w:r>
      <w:r w:rsidR="005F0955" w:rsidRPr="00E648ED">
        <w:rPr>
          <w:szCs w:val="24"/>
        </w:rPr>
        <w:t>ношение долг/ВНП составляет 34%, а первичный дефицит государственного бюджета составл</w:t>
      </w:r>
      <w:r w:rsidR="005F0955" w:rsidRPr="00E648ED">
        <w:rPr>
          <w:szCs w:val="24"/>
        </w:rPr>
        <w:t>я</w:t>
      </w:r>
      <w:r w:rsidR="005F0955" w:rsidRPr="00E648ED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E648ED" w:rsidRDefault="00C168BC" w:rsidP="00F342C5">
      <w:pPr>
        <w:spacing w:after="0" w:line="240" w:lineRule="auto"/>
        <w:ind w:left="360" w:firstLine="709"/>
        <w:rPr>
          <w:noProof/>
          <w:szCs w:val="24"/>
        </w:rPr>
      </w:pPr>
    </w:p>
    <w:p w:rsidR="005F0955" w:rsidRPr="00E648ED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 xml:space="preserve">3Правительство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E648ED">
        <w:rPr>
          <w:szCs w:val="24"/>
        </w:rPr>
        <w:t>через</w:t>
      </w:r>
      <w:proofErr w:type="gramEnd"/>
      <w:r w:rsidR="005F0955" w:rsidRPr="00E648ED">
        <w:rPr>
          <w:szCs w:val="24"/>
        </w:rPr>
        <w:t xml:space="preserve"> сколько лет страна сможет погасить этот долг?</w:t>
      </w:r>
    </w:p>
    <w:p w:rsidR="00DD0741" w:rsidRPr="00E648ED" w:rsidRDefault="00DD0741" w:rsidP="00F342C5">
      <w:pPr>
        <w:pStyle w:val="a4"/>
        <w:spacing w:after="0" w:line="240" w:lineRule="auto"/>
        <w:ind w:firstLine="709"/>
        <w:rPr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 С</w:t>
      </w:r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E648ED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="00832CA4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П</w:t>
      </w:r>
      <w:proofErr w:type="gramEnd"/>
      <w:r w:rsidRPr="00E648ED">
        <w:rPr>
          <w:rFonts w:eastAsia="Times New Roman"/>
          <w:szCs w:val="24"/>
        </w:rPr>
        <w:t xml:space="preserve">роанализировать </w:t>
      </w:r>
      <w:r w:rsidR="005E0E78" w:rsidRPr="00E648ED">
        <w:rPr>
          <w:rFonts w:eastAsia="Times New Roman"/>
          <w:szCs w:val="24"/>
        </w:rPr>
        <w:t>стр</w:t>
      </w:r>
      <w:r w:rsidR="005E0E78" w:rsidRPr="00E648ED">
        <w:rPr>
          <w:szCs w:val="24"/>
        </w:rPr>
        <w:t xml:space="preserve">уктуру и динамику расходов федерального бюджета РФ </w:t>
      </w:r>
      <w:r w:rsidR="00832CA4" w:rsidRPr="00E648ED">
        <w:rPr>
          <w:szCs w:val="24"/>
        </w:rPr>
        <w:t xml:space="preserve"> на обслуживание и погашение государственного долга </w:t>
      </w:r>
      <w:r w:rsidR="005E0E78" w:rsidRPr="00E648ED">
        <w:rPr>
          <w:szCs w:val="24"/>
        </w:rPr>
        <w:t>за три последних года</w:t>
      </w:r>
      <w:r w:rsidRPr="00E648ED">
        <w:rPr>
          <w:rFonts w:eastAsia="Times New Roman"/>
          <w:szCs w:val="24"/>
        </w:rPr>
        <w:t xml:space="preserve">. </w:t>
      </w:r>
      <w:r w:rsidR="005E0E78" w:rsidRPr="00E648ED">
        <w:rPr>
          <w:rFonts w:eastAsia="Times New Roman"/>
          <w:szCs w:val="24"/>
        </w:rPr>
        <w:t>Построить аналитич</w:t>
      </w:r>
      <w:r w:rsidR="005E0E78" w:rsidRPr="00E648ED">
        <w:rPr>
          <w:rFonts w:eastAsia="Times New Roman"/>
          <w:szCs w:val="24"/>
        </w:rPr>
        <w:t>е</w:t>
      </w:r>
      <w:r w:rsidR="005E0E78" w:rsidRPr="00E648ED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E648ED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174621" w:rsidRPr="00E648ED">
        <w:rPr>
          <w:rFonts w:eastAsia="Times New Roman"/>
          <w:szCs w:val="24"/>
        </w:rPr>
        <w:t>П</w:t>
      </w:r>
      <w:proofErr w:type="gramEnd"/>
      <w:r w:rsidR="00174621" w:rsidRPr="00E648ED">
        <w:rPr>
          <w:rFonts w:eastAsia="Times New Roman"/>
          <w:szCs w:val="24"/>
        </w:rPr>
        <w:t>роанализировать стр</w:t>
      </w:r>
      <w:r w:rsidR="00174621" w:rsidRPr="00E648ED">
        <w:rPr>
          <w:szCs w:val="24"/>
        </w:rPr>
        <w:t xml:space="preserve">уктуру и динамику </w:t>
      </w:r>
      <w:r w:rsidR="00832CA4" w:rsidRPr="00E648ED">
        <w:rPr>
          <w:szCs w:val="24"/>
        </w:rPr>
        <w:t>расходов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>на обслуживание и погашение государственного долга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 xml:space="preserve">в </w:t>
      </w:r>
      <w:r w:rsidR="00174621" w:rsidRPr="00E648ED">
        <w:rPr>
          <w:szCs w:val="24"/>
        </w:rPr>
        <w:t>бюджет</w:t>
      </w:r>
      <w:r w:rsidR="00832CA4" w:rsidRPr="00E648ED">
        <w:rPr>
          <w:szCs w:val="24"/>
        </w:rPr>
        <w:t>е</w:t>
      </w:r>
      <w:r w:rsidR="00174621" w:rsidRPr="00E648ED">
        <w:rPr>
          <w:szCs w:val="24"/>
        </w:rPr>
        <w:t xml:space="preserve"> субъекта РФ (по выбору студента) за три последних года</w:t>
      </w:r>
      <w:r w:rsidR="00174621" w:rsidRPr="00E648ED">
        <w:rPr>
          <w:rFonts w:eastAsia="Times New Roman"/>
          <w:szCs w:val="24"/>
        </w:rPr>
        <w:t>. П</w:t>
      </w:r>
      <w:r w:rsidR="00174621" w:rsidRPr="00E648ED">
        <w:rPr>
          <w:rFonts w:eastAsia="Times New Roman"/>
          <w:szCs w:val="24"/>
        </w:rPr>
        <w:t>о</w:t>
      </w:r>
      <w:r w:rsidR="00174621" w:rsidRPr="00E648ED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E648ED">
        <w:rPr>
          <w:rFonts w:eastAsia="Times New Roman"/>
          <w:szCs w:val="24"/>
        </w:rPr>
        <w:t>и</w:t>
      </w:r>
      <w:r w:rsidR="00174621" w:rsidRPr="00E648ED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szCs w:val="24"/>
        </w:rPr>
        <w:t>Задача3</w:t>
      </w:r>
      <w:proofErr w:type="gramStart"/>
      <w:r w:rsidRPr="00E648ED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E648ED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E648ED">
        <w:rPr>
          <w:b w:val="0"/>
          <w:sz w:val="24"/>
          <w:szCs w:val="24"/>
        </w:rPr>
        <w:t xml:space="preserve">Задача </w:t>
      </w:r>
      <w:r w:rsidR="00832CA4" w:rsidRPr="00E648ED">
        <w:rPr>
          <w:b w:val="0"/>
          <w:sz w:val="24"/>
          <w:szCs w:val="24"/>
        </w:rPr>
        <w:t>1</w:t>
      </w:r>
      <w:proofErr w:type="gramStart"/>
      <w:r w:rsidRPr="00E648ED">
        <w:rPr>
          <w:b w:val="0"/>
          <w:sz w:val="24"/>
          <w:szCs w:val="24"/>
        </w:rPr>
        <w:t xml:space="preserve"> </w:t>
      </w:r>
      <w:r w:rsidR="001C55B7" w:rsidRPr="00E648ED">
        <w:rPr>
          <w:b w:val="0"/>
          <w:sz w:val="24"/>
          <w:szCs w:val="24"/>
        </w:rPr>
        <w:t>О</w:t>
      </w:r>
      <w:proofErr w:type="gramEnd"/>
      <w:r w:rsidR="001C55B7" w:rsidRPr="00E648ED">
        <w:rPr>
          <w:b w:val="0"/>
          <w:sz w:val="24"/>
          <w:szCs w:val="24"/>
        </w:rPr>
        <w:t>пределит</w:t>
      </w:r>
      <w:r w:rsidR="00FA6698" w:rsidRPr="00E648ED">
        <w:rPr>
          <w:b w:val="0"/>
          <w:sz w:val="24"/>
          <w:szCs w:val="24"/>
        </w:rPr>
        <w:t>ь</w:t>
      </w:r>
      <w:r w:rsidR="001C55B7" w:rsidRPr="00E648ED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E648ED">
        <w:rPr>
          <w:b w:val="0"/>
          <w:sz w:val="24"/>
          <w:szCs w:val="24"/>
        </w:rPr>
        <w:t>и</w:t>
      </w:r>
      <w:r w:rsidR="001C55B7" w:rsidRPr="00E648ED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E648ED">
        <w:rPr>
          <w:b w:val="0"/>
          <w:sz w:val="24"/>
          <w:szCs w:val="24"/>
        </w:rPr>
        <w:t>е</w:t>
      </w:r>
      <w:r w:rsidR="001C55B7" w:rsidRPr="00E648ED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i/>
                <w:szCs w:val="24"/>
              </w:rPr>
              <w:t xml:space="preserve">    </w:t>
            </w:r>
            <w:r w:rsidRPr="00E648ED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Сумма, тыс. руб.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405493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222685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42577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140231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431530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26037</w:t>
            </w:r>
          </w:p>
        </w:tc>
      </w:tr>
    </w:tbl>
    <w:p w:rsidR="001C55B7" w:rsidRPr="00E648ED" w:rsidRDefault="001C55B7" w:rsidP="001453CE">
      <w:pPr>
        <w:spacing w:after="0" w:line="240" w:lineRule="auto"/>
        <w:ind w:firstLine="709"/>
        <w:rPr>
          <w:szCs w:val="24"/>
        </w:rPr>
      </w:pPr>
      <w:r w:rsidRPr="00E648ED">
        <w:rPr>
          <w:szCs w:val="24"/>
        </w:rPr>
        <w:t xml:space="preserve">  Проанализир</w:t>
      </w:r>
      <w:r w:rsidR="00FA6698" w:rsidRPr="00E648ED">
        <w:rPr>
          <w:szCs w:val="24"/>
        </w:rPr>
        <w:t>овать</w:t>
      </w:r>
      <w:r w:rsidRPr="00E648ED">
        <w:rPr>
          <w:szCs w:val="24"/>
        </w:rPr>
        <w:t>, соответствует ли требованиям Бюджетного кодекса РФ указанный д</w:t>
      </w:r>
      <w:r w:rsidRPr="00E648ED">
        <w:rPr>
          <w:szCs w:val="24"/>
        </w:rPr>
        <w:t>е</w:t>
      </w:r>
      <w:r w:rsidRPr="00E648ED">
        <w:rPr>
          <w:szCs w:val="24"/>
        </w:rPr>
        <w:t>фицит бюджета.</w:t>
      </w:r>
    </w:p>
    <w:p w:rsidR="00D42BDB" w:rsidRPr="00E648ED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D42BDB" w:rsidRPr="00E648ED">
        <w:rPr>
          <w:szCs w:val="24"/>
        </w:rPr>
        <w:t>П</w:t>
      </w:r>
      <w:proofErr w:type="gramEnd"/>
      <w:r w:rsidR="00D42BDB" w:rsidRPr="00E648ED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E648ED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E648ED">
        <w:rPr>
          <w:rFonts w:eastAsia="Times New Roman"/>
          <w:szCs w:val="24"/>
        </w:rPr>
        <w:t>о</w:t>
      </w:r>
      <w:r w:rsidR="00D42BDB" w:rsidRPr="00E648ED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3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эмиссии государственных ценных бумаг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управления государственным долгом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="007D4ECC">
        <w:rPr>
          <w:szCs w:val="24"/>
        </w:rPr>
        <w:t xml:space="preserve"> (собеседование</w:t>
      </w:r>
      <w:r w:rsidRPr="001453CE">
        <w:rPr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териалов по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практической </w:t>
      </w:r>
      <w:r w:rsidRPr="007D4ECC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7D4ECC" w:rsidRPr="00612B38" w:rsidTr="00875A0F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7D4ECC" w:rsidRPr="00612B38" w:rsidTr="00875A0F">
        <w:trPr>
          <w:trHeight w:val="1178"/>
        </w:trPr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Pr="00EB584B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>аны  знания предмета.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7D4ECC" w:rsidRPr="00EB584B" w:rsidRDefault="007D4ECC" w:rsidP="00875A0F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7D4ECC" w:rsidRPr="00612B38" w:rsidTr="00875A0F"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7D4ECC" w:rsidRPr="00CA2BDB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</w:p>
    <w:p w:rsidR="001453CE" w:rsidRDefault="001453CE" w:rsidP="007D4ECC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 xml:space="preserve">Комплект задач 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альная беседа преподавателя с обучающимся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заданий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5387" w:type="dxa"/>
            <w:shd w:val="clear" w:color="auto" w:fill="auto"/>
          </w:tcPr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комплек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ной. При этом учитываются следу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Все это суммируется в итоговую оценку:</w:t>
            </w:r>
          </w:p>
          <w:p w:rsidR="007D4ECC" w:rsidRDefault="007D4ECC" w:rsidP="00875A0F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7D4ECC" w:rsidRPr="008D0EF0" w:rsidRDefault="007D4ECC" w:rsidP="00875A0F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Cs w:val="24"/>
              </w:rPr>
            </w:pPr>
            <w:r>
              <w:t>- «</w:t>
            </w:r>
            <w:proofErr w:type="gramStart"/>
            <w:r>
              <w:t>н</w:t>
            </w:r>
            <w:proofErr w:type="gramEnd"/>
            <w:r>
              <w:t xml:space="preserve">езачет»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7D4ECC" w:rsidRPr="00FF556E" w:rsidRDefault="007D4ECC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7D4ECC" w:rsidRPr="00FF556E" w:rsidRDefault="007D4ECC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ние проблемной задачи, владение языковыми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средствами для ответа на вопрос.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7D4ECC" w:rsidRPr="008D0EF0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2F" w:rsidRDefault="00FF2D2F" w:rsidP="00A913D4">
      <w:pPr>
        <w:spacing w:after="0" w:line="240" w:lineRule="auto"/>
      </w:pPr>
      <w:r>
        <w:separator/>
      </w:r>
    </w:p>
  </w:endnote>
  <w:endnote w:type="continuationSeparator" w:id="0">
    <w:p w:rsidR="00FF2D2F" w:rsidRDefault="00FF2D2F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425419">
      <w:rPr>
        <w:noProof/>
      </w:rPr>
      <w:t>2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2F" w:rsidRDefault="00FF2D2F" w:rsidP="00A913D4">
      <w:pPr>
        <w:spacing w:after="0" w:line="240" w:lineRule="auto"/>
      </w:pPr>
      <w:r>
        <w:separator/>
      </w:r>
    </w:p>
  </w:footnote>
  <w:footnote w:type="continuationSeparator" w:id="0">
    <w:p w:rsidR="00FF2D2F" w:rsidRDefault="00FF2D2F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27DC4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028A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2EDF"/>
    <w:rsid w:val="001453CE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73484"/>
    <w:rsid w:val="00283095"/>
    <w:rsid w:val="002971A8"/>
    <w:rsid w:val="002A21D4"/>
    <w:rsid w:val="002A4D2C"/>
    <w:rsid w:val="002B16AB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B06"/>
    <w:rsid w:val="003A33FE"/>
    <w:rsid w:val="003A4DC3"/>
    <w:rsid w:val="003E32C1"/>
    <w:rsid w:val="003F28F5"/>
    <w:rsid w:val="003F32EB"/>
    <w:rsid w:val="003F39A5"/>
    <w:rsid w:val="0040033E"/>
    <w:rsid w:val="004005BC"/>
    <w:rsid w:val="0040775F"/>
    <w:rsid w:val="00425419"/>
    <w:rsid w:val="00446C16"/>
    <w:rsid w:val="004526B9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14526"/>
    <w:rsid w:val="0062467C"/>
    <w:rsid w:val="00624808"/>
    <w:rsid w:val="00625009"/>
    <w:rsid w:val="00626C6C"/>
    <w:rsid w:val="00632222"/>
    <w:rsid w:val="0063295D"/>
    <w:rsid w:val="00632C60"/>
    <w:rsid w:val="00633B3C"/>
    <w:rsid w:val="006357BF"/>
    <w:rsid w:val="00641046"/>
    <w:rsid w:val="00647B3E"/>
    <w:rsid w:val="00651F61"/>
    <w:rsid w:val="00666CA2"/>
    <w:rsid w:val="00673E69"/>
    <w:rsid w:val="00676AA5"/>
    <w:rsid w:val="0068789D"/>
    <w:rsid w:val="00691CAE"/>
    <w:rsid w:val="006923C7"/>
    <w:rsid w:val="006A3644"/>
    <w:rsid w:val="006A452F"/>
    <w:rsid w:val="006A62FC"/>
    <w:rsid w:val="006B7CA9"/>
    <w:rsid w:val="006C0D56"/>
    <w:rsid w:val="006C4BD1"/>
    <w:rsid w:val="006C5464"/>
    <w:rsid w:val="006D12B2"/>
    <w:rsid w:val="006D7C14"/>
    <w:rsid w:val="006E70C3"/>
    <w:rsid w:val="006F0D1B"/>
    <w:rsid w:val="006F20B4"/>
    <w:rsid w:val="006F381F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4ECC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5E25"/>
    <w:rsid w:val="008A6B3C"/>
    <w:rsid w:val="008B025C"/>
    <w:rsid w:val="008B1430"/>
    <w:rsid w:val="008B3149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3984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72B1E"/>
    <w:rsid w:val="00977783"/>
    <w:rsid w:val="009818AB"/>
    <w:rsid w:val="0098319E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0CFF"/>
    <w:rsid w:val="00BB3443"/>
    <w:rsid w:val="00BB5C92"/>
    <w:rsid w:val="00BC460C"/>
    <w:rsid w:val="00BD21FE"/>
    <w:rsid w:val="00BD3478"/>
    <w:rsid w:val="00BD7B67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0FC6"/>
    <w:rsid w:val="00E112C8"/>
    <w:rsid w:val="00E122F5"/>
    <w:rsid w:val="00E335C6"/>
    <w:rsid w:val="00E44D9A"/>
    <w:rsid w:val="00E648EA"/>
    <w:rsid w:val="00E648ED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2D2F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DDC7A-5AD5-4642-B25B-6C10A73A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45973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4</cp:revision>
  <cp:lastPrinted>2019-10-25T06:59:00Z</cp:lastPrinted>
  <dcterms:created xsi:type="dcterms:W3CDTF">2019-12-02T10:22:00Z</dcterms:created>
  <dcterms:modified xsi:type="dcterms:W3CDTF">2019-12-02T10:24:00Z</dcterms:modified>
</cp:coreProperties>
</file>