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Минобрнауки России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Бузулукский гуманитарно-технологический институт (филиал)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высшего  образования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  <w:r w:rsidRPr="00C20E9D">
        <w:rPr>
          <w:b/>
          <w:sz w:val="24"/>
          <w:szCs w:val="24"/>
        </w:rPr>
        <w:t>«Оренбургский государственный университет»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Кафедра педагогического образования (БГТИ)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6098C" w:rsidRDefault="0026098C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Pr="00536036" w:rsidRDefault="002C2112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26098C" w:rsidRPr="00545ABA" w:rsidRDefault="003D6BEF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3D6BEF">
        <w:rPr>
          <w:i/>
          <w:sz w:val="24"/>
        </w:rPr>
        <w:t xml:space="preserve"> </w:t>
      </w:r>
      <w:r w:rsidRPr="003D6BEF">
        <w:rPr>
          <w:i/>
          <w:szCs w:val="28"/>
        </w:rPr>
        <w:t>Б.1Д.Б.15</w:t>
      </w:r>
      <w:r>
        <w:rPr>
          <w:i/>
          <w:sz w:val="24"/>
        </w:rPr>
        <w:t xml:space="preserve"> </w:t>
      </w:r>
      <w:r w:rsidR="0087042C">
        <w:rPr>
          <w:i/>
          <w:szCs w:val="28"/>
        </w:rPr>
        <w:t xml:space="preserve"> Психология </w:t>
      </w:r>
      <w:r w:rsidR="0026098C"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7B4B88" w:rsidRDefault="00A67697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Дошкольное </w:t>
      </w:r>
      <w:r w:rsidR="00333EC8">
        <w:rPr>
          <w:i/>
          <w:sz w:val="24"/>
          <w:u w:val="single"/>
        </w:rPr>
        <w:t xml:space="preserve"> образование</w:t>
      </w:r>
      <w:r>
        <w:rPr>
          <w:i/>
          <w:sz w:val="24"/>
          <w:u w:val="single"/>
        </w:rPr>
        <w:t xml:space="preserve"> 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72D4E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26098C" w:rsidRPr="00545ABA">
        <w:rPr>
          <w:i/>
          <w:szCs w:val="28"/>
          <w:u w:val="single"/>
        </w:rPr>
        <w:t>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03F0C" w:rsidRPr="003D6BEF" w:rsidRDefault="00203F0C" w:rsidP="00203F0C">
      <w:pPr>
        <w:pStyle w:val="ReportHead"/>
        <w:suppressAutoHyphens/>
        <w:ind w:firstLine="709"/>
        <w:jc w:val="left"/>
        <w:rPr>
          <w:szCs w:val="28"/>
        </w:rPr>
      </w:pPr>
      <w:r w:rsidRPr="003D6BEF">
        <w:rPr>
          <w:szCs w:val="28"/>
        </w:rPr>
        <w:t xml:space="preserve">                                          </w:t>
      </w:r>
    </w:p>
    <w:p w:rsidR="00272D4E" w:rsidRPr="00BF7A9C" w:rsidRDefault="00272D4E" w:rsidP="00272D4E">
      <w:pPr>
        <w:pStyle w:val="ReportHead"/>
        <w:suppressAutoHyphens/>
        <w:rPr>
          <w:sz w:val="24"/>
        </w:rPr>
      </w:pPr>
      <w:r>
        <w:rPr>
          <w:sz w:val="24"/>
        </w:rPr>
        <w:t xml:space="preserve">    </w:t>
      </w: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6F5699" w:rsidRDefault="00272D4E" w:rsidP="00272D4E">
      <w:pPr>
        <w:pStyle w:val="ReportHead"/>
        <w:suppressAutoHyphens/>
        <w:rPr>
          <w:sz w:val="24"/>
        </w:rPr>
        <w:sectPr w:rsidR="00272D4E" w:rsidRPr="006F5699" w:rsidSect="00363041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  Год набора 20</w:t>
      </w:r>
      <w:r w:rsidRPr="006F5699">
        <w:rPr>
          <w:sz w:val="24"/>
        </w:rPr>
        <w:t>20</w:t>
      </w:r>
    </w:p>
    <w:p w:rsidR="00272D4E" w:rsidRPr="00272D4E" w:rsidRDefault="00272D4E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AD6" w:rsidRPr="00536036" w:rsidRDefault="00F4073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</w:t>
      </w:r>
      <w:r w:rsid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77C7" w:rsidRP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D077C7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272D4E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8A3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66CA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AC7180" w:rsidRPr="00340B2F" w:rsidRDefault="00157A97" w:rsidP="00157A9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63B1E" w:rsidRPr="00466CA3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ал) ОГУ,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740D45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740D45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740D45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740D4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90F2A">
        <w:rPr>
          <w:rFonts w:ascii="Times New Roman" w:hAnsi="Times New Roman"/>
          <w:sz w:val="28"/>
          <w:szCs w:val="28"/>
        </w:rPr>
        <w:t>Психол</w:t>
      </w:r>
      <w:r w:rsidR="003446CF">
        <w:rPr>
          <w:rFonts w:ascii="Times New Roman" w:hAnsi="Times New Roman"/>
          <w:sz w:val="28"/>
          <w:szCs w:val="28"/>
        </w:rPr>
        <w:t>огия</w:t>
      </w:r>
      <w:r w:rsidR="00990F2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6A12CA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5765CC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9C597E" w:rsidRPr="00536036" w:rsidRDefault="00AD37CA" w:rsidP="00913A67">
      <w:pPr>
        <w:pStyle w:val="Default"/>
        <w:ind w:left="284" w:right="141" w:hanging="142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13A67" w:rsidRDefault="00913A67" w:rsidP="00913A6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231"/>
        <w:gridCol w:w="1276"/>
      </w:tblGrid>
      <w:tr w:rsidR="00913A67" w:rsidRPr="001C0F50" w:rsidTr="00BF7A9C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№ раздела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Кол-во часов</w:t>
            </w:r>
          </w:p>
        </w:tc>
      </w:tr>
      <w:tr w:rsidR="00913A67" w:rsidRPr="001C0F50" w:rsidTr="00BF7A9C">
        <w:tc>
          <w:tcPr>
            <w:tcW w:w="1191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1-8</w:t>
            </w:r>
          </w:p>
        </w:tc>
        <w:tc>
          <w:tcPr>
            <w:tcW w:w="1134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1-2</w:t>
            </w:r>
          </w:p>
        </w:tc>
        <w:tc>
          <w:tcPr>
            <w:tcW w:w="623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</w:pPr>
            <w:r>
              <w:t>Проектная деятельность «Развитие психических процессов личности обучающихся».</w:t>
            </w:r>
          </w:p>
        </w:tc>
        <w:tc>
          <w:tcPr>
            <w:tcW w:w="1276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913A67" w:rsidRPr="001C0F50" w:rsidTr="00BF7A9C">
        <w:tc>
          <w:tcPr>
            <w:tcW w:w="1191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9-17</w:t>
            </w:r>
          </w:p>
        </w:tc>
        <w:tc>
          <w:tcPr>
            <w:tcW w:w="1134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23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</w:pPr>
            <w:r>
              <w:t>Психологические особенности личности человека. Диагностика психических процессов и психических свойств личности.</w:t>
            </w:r>
          </w:p>
        </w:tc>
        <w:tc>
          <w:tcPr>
            <w:tcW w:w="1276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913A67" w:rsidRPr="001C0F50" w:rsidTr="00BF7A9C">
        <w:tc>
          <w:tcPr>
            <w:tcW w:w="119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</w:p>
        </w:tc>
        <w:tc>
          <w:tcPr>
            <w:tcW w:w="623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</w:pPr>
            <w:r w:rsidRPr="001C0F50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34</w:t>
            </w:r>
          </w:p>
        </w:tc>
      </w:tr>
    </w:tbl>
    <w:p w:rsidR="00913A67" w:rsidRDefault="00913A67" w:rsidP="00E21145">
      <w:pPr>
        <w:pStyle w:val="ReportMain"/>
        <w:suppressAutoHyphens/>
        <w:ind w:firstLine="567"/>
        <w:jc w:val="both"/>
        <w:rPr>
          <w:b/>
        </w:rPr>
      </w:pPr>
    </w:p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15E35">
        <w:rPr>
          <w:rFonts w:eastAsia="Times New Roman"/>
          <w:sz w:val="28"/>
          <w:szCs w:val="28"/>
          <w:lang w:eastAsia="ru-RU"/>
        </w:rPr>
        <w:t>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24" w:rsidRDefault="00A33924" w:rsidP="00817BE6">
      <w:pPr>
        <w:spacing w:after="0" w:line="240" w:lineRule="auto"/>
      </w:pPr>
      <w:r>
        <w:separator/>
      </w:r>
    </w:p>
  </w:endnote>
  <w:endnote w:type="continuationSeparator" w:id="0">
    <w:p w:rsidR="00A33924" w:rsidRDefault="00A3392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4E" w:rsidRPr="00962266" w:rsidRDefault="00272D4E" w:rsidP="00363041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077C7" w:rsidRDefault="00012F4A">
        <w:pPr>
          <w:pStyle w:val="a7"/>
          <w:jc w:val="center"/>
        </w:pPr>
        <w:fldSimple w:instr="PAGE   \* MERGEFORMAT">
          <w:r w:rsidR="00A67697">
            <w:rPr>
              <w:noProof/>
            </w:rPr>
            <w:t>25</w:t>
          </w:r>
        </w:fldSimple>
      </w:p>
    </w:sdtContent>
  </w:sdt>
  <w:p w:rsidR="00D077C7" w:rsidRDefault="00D077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24" w:rsidRDefault="00A33924" w:rsidP="00817BE6">
      <w:pPr>
        <w:spacing w:after="0" w:line="240" w:lineRule="auto"/>
      </w:pPr>
      <w:r>
        <w:separator/>
      </w:r>
    </w:p>
  </w:footnote>
  <w:footnote w:type="continuationSeparator" w:id="0">
    <w:p w:rsidR="00A33924" w:rsidRDefault="00A3392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2F4A"/>
    <w:rsid w:val="000145E2"/>
    <w:rsid w:val="00016334"/>
    <w:rsid w:val="000165BD"/>
    <w:rsid w:val="00026226"/>
    <w:rsid w:val="00026B00"/>
    <w:rsid w:val="000303CA"/>
    <w:rsid w:val="0003211E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910CF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70D"/>
    <w:rsid w:val="001209D9"/>
    <w:rsid w:val="00122C06"/>
    <w:rsid w:val="001267AD"/>
    <w:rsid w:val="001364E8"/>
    <w:rsid w:val="00146537"/>
    <w:rsid w:val="00151C92"/>
    <w:rsid w:val="001566CC"/>
    <w:rsid w:val="001575FA"/>
    <w:rsid w:val="00157A97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3F0C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2D4E"/>
    <w:rsid w:val="00274B72"/>
    <w:rsid w:val="00275218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2112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3EC8"/>
    <w:rsid w:val="00336095"/>
    <w:rsid w:val="00340B2F"/>
    <w:rsid w:val="003446CF"/>
    <w:rsid w:val="003455CF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B49D4"/>
    <w:rsid w:val="003C04F7"/>
    <w:rsid w:val="003D2372"/>
    <w:rsid w:val="003D2B46"/>
    <w:rsid w:val="003D51BF"/>
    <w:rsid w:val="003D5F8B"/>
    <w:rsid w:val="003D6BEF"/>
    <w:rsid w:val="003E5D3B"/>
    <w:rsid w:val="003E6D16"/>
    <w:rsid w:val="003E7A71"/>
    <w:rsid w:val="003F7195"/>
    <w:rsid w:val="00400ABA"/>
    <w:rsid w:val="004019DE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26A"/>
    <w:rsid w:val="004558AD"/>
    <w:rsid w:val="00457067"/>
    <w:rsid w:val="00460A73"/>
    <w:rsid w:val="00466CA3"/>
    <w:rsid w:val="0047249A"/>
    <w:rsid w:val="00475512"/>
    <w:rsid w:val="00476C03"/>
    <w:rsid w:val="00477D55"/>
    <w:rsid w:val="00490F97"/>
    <w:rsid w:val="0049136B"/>
    <w:rsid w:val="0049342A"/>
    <w:rsid w:val="00496401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5CED"/>
    <w:rsid w:val="00536036"/>
    <w:rsid w:val="005364C3"/>
    <w:rsid w:val="00542861"/>
    <w:rsid w:val="005464A9"/>
    <w:rsid w:val="005478F9"/>
    <w:rsid w:val="00555B78"/>
    <w:rsid w:val="005560B4"/>
    <w:rsid w:val="00566621"/>
    <w:rsid w:val="00567B98"/>
    <w:rsid w:val="005765CC"/>
    <w:rsid w:val="00577099"/>
    <w:rsid w:val="00577215"/>
    <w:rsid w:val="00581A7F"/>
    <w:rsid w:val="005838FD"/>
    <w:rsid w:val="00584989"/>
    <w:rsid w:val="00587DEC"/>
    <w:rsid w:val="00593587"/>
    <w:rsid w:val="005940CA"/>
    <w:rsid w:val="005A04C2"/>
    <w:rsid w:val="005A7965"/>
    <w:rsid w:val="005B1884"/>
    <w:rsid w:val="005B2A96"/>
    <w:rsid w:val="005B582D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15E35"/>
    <w:rsid w:val="00622576"/>
    <w:rsid w:val="00626EDA"/>
    <w:rsid w:val="00631A88"/>
    <w:rsid w:val="00632906"/>
    <w:rsid w:val="006401CE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12CA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65F3"/>
    <w:rsid w:val="00710983"/>
    <w:rsid w:val="00714722"/>
    <w:rsid w:val="007237BD"/>
    <w:rsid w:val="007311BE"/>
    <w:rsid w:val="00734A8B"/>
    <w:rsid w:val="0073547D"/>
    <w:rsid w:val="00740D45"/>
    <w:rsid w:val="0074681F"/>
    <w:rsid w:val="00746AA3"/>
    <w:rsid w:val="00761C9C"/>
    <w:rsid w:val="00762BEB"/>
    <w:rsid w:val="00771419"/>
    <w:rsid w:val="00774652"/>
    <w:rsid w:val="00782079"/>
    <w:rsid w:val="00783C6D"/>
    <w:rsid w:val="00790CE8"/>
    <w:rsid w:val="00795A67"/>
    <w:rsid w:val="007A3803"/>
    <w:rsid w:val="007B19F5"/>
    <w:rsid w:val="007B26B5"/>
    <w:rsid w:val="007B3CC0"/>
    <w:rsid w:val="007B4B88"/>
    <w:rsid w:val="007B6491"/>
    <w:rsid w:val="007B659B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042C"/>
    <w:rsid w:val="00875FD6"/>
    <w:rsid w:val="00881073"/>
    <w:rsid w:val="00884786"/>
    <w:rsid w:val="00891CFA"/>
    <w:rsid w:val="008960B2"/>
    <w:rsid w:val="008A10E4"/>
    <w:rsid w:val="008A1682"/>
    <w:rsid w:val="008A3B8F"/>
    <w:rsid w:val="008A4700"/>
    <w:rsid w:val="008C45A3"/>
    <w:rsid w:val="008C7425"/>
    <w:rsid w:val="008D0287"/>
    <w:rsid w:val="008D0A54"/>
    <w:rsid w:val="008D6C66"/>
    <w:rsid w:val="008D7566"/>
    <w:rsid w:val="008D7778"/>
    <w:rsid w:val="008E0A2A"/>
    <w:rsid w:val="008E1038"/>
    <w:rsid w:val="008E2EED"/>
    <w:rsid w:val="008E5D43"/>
    <w:rsid w:val="008F493E"/>
    <w:rsid w:val="009001C2"/>
    <w:rsid w:val="00910BAB"/>
    <w:rsid w:val="00913A67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0F2A"/>
    <w:rsid w:val="0099415C"/>
    <w:rsid w:val="009A2754"/>
    <w:rsid w:val="009A327A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3924"/>
    <w:rsid w:val="00A379D3"/>
    <w:rsid w:val="00A41C30"/>
    <w:rsid w:val="00A471D7"/>
    <w:rsid w:val="00A54281"/>
    <w:rsid w:val="00A543C5"/>
    <w:rsid w:val="00A564B7"/>
    <w:rsid w:val="00A578A9"/>
    <w:rsid w:val="00A628A9"/>
    <w:rsid w:val="00A67697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180"/>
    <w:rsid w:val="00AC7CB1"/>
    <w:rsid w:val="00AD37CA"/>
    <w:rsid w:val="00AD4C34"/>
    <w:rsid w:val="00AE356A"/>
    <w:rsid w:val="00AE4881"/>
    <w:rsid w:val="00AE7982"/>
    <w:rsid w:val="00AF5420"/>
    <w:rsid w:val="00B0572D"/>
    <w:rsid w:val="00B16B3E"/>
    <w:rsid w:val="00B20767"/>
    <w:rsid w:val="00B37660"/>
    <w:rsid w:val="00B408EA"/>
    <w:rsid w:val="00B42E55"/>
    <w:rsid w:val="00B45D4F"/>
    <w:rsid w:val="00B51A2B"/>
    <w:rsid w:val="00B55747"/>
    <w:rsid w:val="00B55FA6"/>
    <w:rsid w:val="00B56F0C"/>
    <w:rsid w:val="00B6464B"/>
    <w:rsid w:val="00B70C03"/>
    <w:rsid w:val="00B7266B"/>
    <w:rsid w:val="00B73EAF"/>
    <w:rsid w:val="00B75188"/>
    <w:rsid w:val="00B80AC3"/>
    <w:rsid w:val="00B920D5"/>
    <w:rsid w:val="00BA331D"/>
    <w:rsid w:val="00BA71B5"/>
    <w:rsid w:val="00BB417F"/>
    <w:rsid w:val="00BB772B"/>
    <w:rsid w:val="00BD025A"/>
    <w:rsid w:val="00BD3C36"/>
    <w:rsid w:val="00BD6D4C"/>
    <w:rsid w:val="00BD710D"/>
    <w:rsid w:val="00BE2DBF"/>
    <w:rsid w:val="00BF4794"/>
    <w:rsid w:val="00BF68DC"/>
    <w:rsid w:val="00BF7A9C"/>
    <w:rsid w:val="00C01C3E"/>
    <w:rsid w:val="00C021A9"/>
    <w:rsid w:val="00C03F94"/>
    <w:rsid w:val="00C102D0"/>
    <w:rsid w:val="00C20E9D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869"/>
    <w:rsid w:val="00C92FDE"/>
    <w:rsid w:val="00C9548F"/>
    <w:rsid w:val="00C97AE3"/>
    <w:rsid w:val="00CA0E28"/>
    <w:rsid w:val="00CA2AEC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077C7"/>
    <w:rsid w:val="00D1017D"/>
    <w:rsid w:val="00D21FDD"/>
    <w:rsid w:val="00D22756"/>
    <w:rsid w:val="00D276CE"/>
    <w:rsid w:val="00D31DAB"/>
    <w:rsid w:val="00D42953"/>
    <w:rsid w:val="00D461EC"/>
    <w:rsid w:val="00D526CF"/>
    <w:rsid w:val="00D549EA"/>
    <w:rsid w:val="00D565E7"/>
    <w:rsid w:val="00D57F9A"/>
    <w:rsid w:val="00D60091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0A94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2755"/>
    <w:rsid w:val="00F35BA8"/>
    <w:rsid w:val="00F4034D"/>
    <w:rsid w:val="00F4073A"/>
    <w:rsid w:val="00F42881"/>
    <w:rsid w:val="00F46FAD"/>
    <w:rsid w:val="00F53DAC"/>
    <w:rsid w:val="00F55296"/>
    <w:rsid w:val="00F6105E"/>
    <w:rsid w:val="00F65DAA"/>
    <w:rsid w:val="00F81AD9"/>
    <w:rsid w:val="00F84A76"/>
    <w:rsid w:val="00F9022B"/>
    <w:rsid w:val="00F9259C"/>
    <w:rsid w:val="00FB1804"/>
    <w:rsid w:val="00FC0F36"/>
    <w:rsid w:val="00FC4CA5"/>
    <w:rsid w:val="00FC5FB3"/>
    <w:rsid w:val="00FD3530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2351-FF51-4EC5-A15E-EE75B73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25</Pages>
  <Words>7933</Words>
  <Characters>45221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61</cp:revision>
  <cp:lastPrinted>2016-11-15T09:56:00Z</cp:lastPrinted>
  <dcterms:created xsi:type="dcterms:W3CDTF">2019-03-04T04:38:00Z</dcterms:created>
  <dcterms:modified xsi:type="dcterms:W3CDTF">2020-01-05T16:09:00Z</dcterms:modified>
</cp:coreProperties>
</file>