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</w:t>
      </w:r>
      <w:r w:rsidR="00B51B85" w:rsidRPr="00B51B85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Юриспруденция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394412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</w:t>
      </w:r>
      <w:r w:rsidR="00480A6E"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994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D037C1">
        <w:rPr>
          <w:rFonts w:ascii="Times New Roman" w:eastAsia="Times New Roman" w:hAnsi="Times New Roman" w:cs="Times New Roman"/>
          <w:sz w:val="28"/>
          <w:szCs w:val="28"/>
        </w:rPr>
        <w:t>40.03.01 Юриспруденция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Способен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ОПК-7-В-1 Осуществляет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культурах,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межкультурной коммуникации возникло в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>) не допущение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1.11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1.15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б)формальные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синтез социально-коммуникативного, естественно-научного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 xml:space="preserve">Соедините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фонетических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логических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стилистических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“зеркального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психоаналитическая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2.18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1.4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ей, являющейся источником каких –либо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</w:rPr>
        <w:t>Изучите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здорово! Как здорово!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5B30ED">
        <w:rPr>
          <w:rFonts w:ascii="Times New Roman" w:hAnsi="Times New Roman" w:cs="Times New Roman"/>
          <w:sz w:val="28"/>
          <w:szCs w:val="28"/>
        </w:rPr>
        <w:t>Прослушайте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мракобесии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 xml:space="preserve">3.3 </w:t>
      </w:r>
      <w:r>
        <w:t>Проанализируйте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в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 xml:space="preserve">3.1 </w:t>
      </w:r>
      <w:r>
        <w:t>В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r>
        <w:t xml:space="preserve">  Объясните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 xml:space="preserve">3.4 </w:t>
      </w:r>
      <w:r>
        <w:t>Охарактеризуйте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межкультурной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теля с обучающимся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ставляется в случае отказа отвечать на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4" w:rsidRDefault="00EF2CD4" w:rsidP="00B24C3E">
      <w:pPr>
        <w:spacing w:after="0" w:line="240" w:lineRule="auto"/>
      </w:pPr>
      <w:r>
        <w:separator/>
      </w:r>
    </w:p>
  </w:endnote>
  <w:end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994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4" w:rsidRDefault="00EF2CD4" w:rsidP="00B24C3E">
      <w:pPr>
        <w:spacing w:after="0" w:line="240" w:lineRule="auto"/>
      </w:pPr>
      <w:r>
        <w:separator/>
      </w:r>
    </w:p>
  </w:footnote>
  <w:foot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3D6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94412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8173B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1994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037C1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EF2CD4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339F-F12B-49BE-A957-1E071D0D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27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17</cp:revision>
  <dcterms:created xsi:type="dcterms:W3CDTF">2016-08-25T17:04:00Z</dcterms:created>
  <dcterms:modified xsi:type="dcterms:W3CDTF">2022-09-08T15:41:00Z</dcterms:modified>
</cp:coreProperties>
</file>