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C2F29" w:rsidRDefault="002C2F29" w:rsidP="00B86AC7">
      <w:pPr>
        <w:jc w:val="center"/>
        <w:rPr>
          <w:b/>
          <w:sz w:val="52"/>
          <w:szCs w:val="52"/>
        </w:rPr>
      </w:pPr>
      <w:r w:rsidRPr="002C2F29">
        <w:rPr>
          <w:b/>
          <w:sz w:val="32"/>
        </w:rPr>
        <w:t>ПРАКТИКУМ ПО РЕШЕНИЮ ЗАДАЧ НА КОМПЬЮТЕРЕ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C77C9B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C2F29">
        <w:rPr>
          <w:sz w:val="28"/>
        </w:rPr>
        <w:t>Практикум по решению задач на компьютере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77C9B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35A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C2F29">
        <w:rPr>
          <w:sz w:val="28"/>
        </w:rPr>
        <w:t>Практикум по решению задач на компьютере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2C2F29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77C9B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77C9B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B08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</w:t>
            </w:r>
            <w:bookmarkStart w:id="0" w:name="_GoBack"/>
            <w:bookmarkEnd w:id="0"/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CB083A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C2F29" w:rsidRDefault="00B86AC7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 xml:space="preserve">Цель освоения дисциплины: </w:t>
      </w:r>
      <w:r w:rsidR="002C2F29" w:rsidRPr="002C2F29">
        <w:rPr>
          <w:bCs/>
          <w:kern w:val="2"/>
          <w:sz w:val="28"/>
          <w:szCs w:val="28"/>
        </w:rPr>
        <w:t>формирование систематизированных знаний и</w:t>
      </w:r>
      <w:r w:rsidR="002C2F29" w:rsidRPr="002C2F29">
        <w:rPr>
          <w:kern w:val="2"/>
          <w:sz w:val="28"/>
          <w:szCs w:val="28"/>
        </w:rPr>
        <w:t xml:space="preserve"> навыков, необходимых для решения вычислительных задач и моделирования математических и физических процессов</w:t>
      </w:r>
      <w:r w:rsidRPr="002C2F29">
        <w:rPr>
          <w:sz w:val="28"/>
          <w:szCs w:val="28"/>
        </w:rPr>
        <w:t xml:space="preserve">. </w:t>
      </w:r>
    </w:p>
    <w:p w:rsidR="00050C83" w:rsidRPr="002C2F29" w:rsidRDefault="00050C83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>Задачи: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>систематизировать методов и приемов решения задач, формировать умения реализовывать данные приемы при решении задач;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развить и углубить общие представления о языках программирования и возможности их применения в различных областях деятельности человека;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формировать умения по организации самостоятельной работы студентов.</w:t>
      </w:r>
    </w:p>
    <w:p w:rsidR="00B86AC7" w:rsidRPr="002C2F29" w:rsidRDefault="00B86AC7" w:rsidP="002C2F2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2F29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2C2F29">
        <w:rPr>
          <w:rFonts w:ascii="Times New Roman" w:hAnsi="Times New Roman"/>
          <w:sz w:val="28"/>
          <w:szCs w:val="28"/>
          <w:lang w:val="ru-RU"/>
        </w:rPr>
        <w:t>ями</w:t>
      </w:r>
      <w:r w:rsidRPr="002C2F29">
        <w:rPr>
          <w:rFonts w:ascii="Times New Roman" w:hAnsi="Times New Roman"/>
          <w:sz w:val="28"/>
          <w:szCs w:val="28"/>
        </w:rPr>
        <w:t>:</w:t>
      </w:r>
    </w:p>
    <w:p w:rsidR="00B86AC7" w:rsidRPr="002C2F29" w:rsidRDefault="00B86AC7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2C2F29" w:rsidRPr="002C2F29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C2F29">
        <w:rPr>
          <w:sz w:val="28"/>
          <w:szCs w:val="28"/>
        </w:rPr>
        <w:t>.</w:t>
      </w:r>
    </w:p>
    <w:p w:rsidR="002A6610" w:rsidRPr="002C2F29" w:rsidRDefault="002A6610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8F678D" w:rsidRPr="002C2F29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C2F29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2C2F29">
        <w:rPr>
          <w:sz w:val="28"/>
          <w:szCs w:val="28"/>
          <w:lang w:val="ru-RU"/>
        </w:rPr>
        <w:t>ых</w:t>
      </w:r>
      <w:r w:rsidRPr="002C2F29">
        <w:rPr>
          <w:sz w:val="28"/>
          <w:szCs w:val="28"/>
        </w:rPr>
        <w:t xml:space="preserve"> компетенци</w:t>
      </w:r>
      <w:r w:rsidR="008F678D" w:rsidRPr="002C2F29">
        <w:rPr>
          <w:sz w:val="28"/>
          <w:szCs w:val="28"/>
          <w:lang w:val="ru-RU"/>
        </w:rPr>
        <w:t>й</w:t>
      </w:r>
      <w:r w:rsidRPr="002C2F29">
        <w:rPr>
          <w:sz w:val="28"/>
          <w:szCs w:val="28"/>
          <w:lang w:val="ru-RU"/>
        </w:rPr>
        <w:t>: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знать: </w:t>
      </w:r>
      <w:r w:rsidR="002C2F29" w:rsidRPr="002C2F29">
        <w:rPr>
          <w:sz w:val="28"/>
          <w:szCs w:val="28"/>
          <w:lang w:eastAsia="ru-RU"/>
        </w:rPr>
        <w:t xml:space="preserve">требования к </w:t>
      </w:r>
      <w:r w:rsidR="002C2F29" w:rsidRPr="002C2F29">
        <w:rPr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sz w:val="28"/>
          <w:szCs w:val="28"/>
        </w:rPr>
        <w:t>общие сведение и технология работы с офисными приложениями; теоретические сведения о системах программирования</w:t>
      </w:r>
      <w:r w:rsidRPr="002C2F29">
        <w:rPr>
          <w:sz w:val="28"/>
          <w:szCs w:val="28"/>
        </w:rPr>
        <w:t>;</w:t>
      </w:r>
    </w:p>
    <w:p w:rsidR="00B108D8" w:rsidRPr="002C2F29" w:rsidRDefault="00553F16" w:rsidP="002C2F29">
      <w:pPr>
        <w:tabs>
          <w:tab w:val="left" w:pos="284"/>
          <w:tab w:val="left" w:pos="345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уметь: </w:t>
      </w:r>
      <w:r w:rsidR="002C2F29" w:rsidRPr="002C2F29">
        <w:rPr>
          <w:sz w:val="28"/>
          <w:szCs w:val="28"/>
        </w:rPr>
        <w:t>определять структуру и содержание образовательных программ по учебному предмету в соответствии с требованиями образовательных стандартов; решать задачи средствами текстового процессора, электронных таблиц, систем управления базами данных</w:t>
      </w:r>
      <w:r w:rsidR="002C2F29" w:rsidRPr="002C2F29">
        <w:rPr>
          <w:bCs/>
          <w:kern w:val="2"/>
          <w:sz w:val="28"/>
          <w:szCs w:val="28"/>
        </w:rPr>
        <w:t xml:space="preserve">; реализовать </w:t>
      </w:r>
      <w:r w:rsidR="002C2F29" w:rsidRPr="002C2F29">
        <w:rPr>
          <w:sz w:val="28"/>
          <w:szCs w:val="28"/>
        </w:rPr>
        <w:t>технологии процедурного и объектно-ориентированного программирования</w:t>
      </w:r>
      <w:r w:rsidR="00B108D8" w:rsidRPr="002C2F29">
        <w:rPr>
          <w:sz w:val="28"/>
          <w:szCs w:val="28"/>
        </w:rPr>
        <w:t xml:space="preserve">; </w:t>
      </w:r>
    </w:p>
    <w:p w:rsidR="00B86AC7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 xml:space="preserve">будут владеть: </w:t>
      </w:r>
      <w:r w:rsidR="002C2F29" w:rsidRPr="002C2F29">
        <w:rPr>
          <w:sz w:val="28"/>
          <w:szCs w:val="28"/>
          <w:lang w:eastAsia="ru-RU"/>
        </w:rPr>
        <w:t xml:space="preserve">отдельными методами, приемами обучения при реализации </w:t>
      </w:r>
      <w:r w:rsidR="002C2F29" w:rsidRPr="002C2F29">
        <w:rPr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bCs/>
          <w:kern w:val="2"/>
          <w:sz w:val="28"/>
          <w:szCs w:val="28"/>
        </w:rPr>
        <w:t>приемами работы с прикладными программными средствами; методами объектно-ориентированного программирования типовых задач обработки информации</w:t>
      </w:r>
      <w:r w:rsidRPr="002C2F2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2C2F29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2C2F29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5"/>
        <w:gridCol w:w="1439"/>
        <w:gridCol w:w="1439"/>
      </w:tblGrid>
      <w:tr w:rsidR="00C77C9B" w:rsidTr="00C77C9B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77C9B" w:rsidRDefault="00C77C9B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77C9B" w:rsidTr="00C77C9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B" w:rsidRDefault="00C77C9B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C77C9B" w:rsidTr="00C77C9B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9B" w:rsidRDefault="00C77C9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77C9B" w:rsidTr="00C77C9B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77C9B" w:rsidRDefault="00C77C9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B" w:rsidRDefault="00C77C9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B" w:rsidRDefault="00C77C9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77C9B" w:rsidTr="00C77C9B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B" w:rsidRDefault="00C77C9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9F479D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77C9B" w:rsidRPr="005820B3" w:rsidTr="009C345E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5820B3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Количество часов</w:t>
            </w:r>
          </w:p>
        </w:tc>
      </w:tr>
      <w:tr w:rsidR="00C77C9B" w:rsidRPr="005820B3" w:rsidTr="009C345E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аудиторная</w:t>
            </w:r>
          </w:p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внеауд. работа</w:t>
            </w:r>
          </w:p>
        </w:tc>
      </w:tr>
      <w:bookmarkEnd w:id="6"/>
      <w:tr w:rsidR="00C77C9B" w:rsidRPr="005820B3" w:rsidTr="009C345E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C77C9B" w:rsidRPr="005820B3" w:rsidTr="009C345E"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C77C9B" w:rsidRDefault="00C77C9B" w:rsidP="009C345E">
            <w:pPr>
              <w:pStyle w:val="ae"/>
              <w:keepNext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ПО общего назначения</w:t>
            </w:r>
          </w:p>
        </w:tc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C77C9B" w:rsidRPr="005820B3" w:rsidTr="009C345E"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shd w:val="clear" w:color="auto" w:fill="auto"/>
            <w:vAlign w:val="center"/>
          </w:tcPr>
          <w:p w:rsidR="00C77C9B" w:rsidRDefault="00C77C9B" w:rsidP="009C345E">
            <w:pPr>
              <w:pStyle w:val="ae"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языков программирования</w:t>
            </w:r>
          </w:p>
        </w:tc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</w:tcPr>
          <w:p w:rsidR="00C77C9B" w:rsidRDefault="00C77C9B" w:rsidP="009C345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C77C9B" w:rsidRPr="005820B3" w:rsidTr="009C345E"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</w:pPr>
            <w:r w:rsidRPr="005820B3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108</w:t>
            </w: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9</w:t>
            </w:r>
            <w:r>
              <w:t>8</w:t>
            </w:r>
          </w:p>
        </w:tc>
      </w:tr>
      <w:tr w:rsidR="00C77C9B" w:rsidRPr="005820B3" w:rsidTr="009C345E"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</w:pPr>
            <w:r w:rsidRPr="005820B3">
              <w:t>Всего:</w:t>
            </w:r>
            <w:r>
              <w:t xml:space="preserve"> </w:t>
            </w:r>
          </w:p>
        </w:tc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108</w:t>
            </w: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shd w:val="clear" w:color="auto" w:fill="auto"/>
          </w:tcPr>
          <w:p w:rsidR="00C77C9B" w:rsidRPr="005820B3" w:rsidRDefault="00C77C9B" w:rsidP="009C345E">
            <w:pPr>
              <w:pStyle w:val="ReportMain"/>
              <w:suppressAutoHyphens/>
              <w:jc w:val="center"/>
            </w:pPr>
            <w:r w:rsidRPr="005820B3">
              <w:t>9</w:t>
            </w:r>
            <w:r>
              <w:t>8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1 Решение задач с использованием ПО общего назначения </w:t>
      </w:r>
      <w:r w:rsidRPr="002C2F29">
        <w:rPr>
          <w:sz w:val="28"/>
        </w:rPr>
        <w:t>Общие сведение и технология работы с офисными приложениями. Особенности работы с прикладными программными средствами.</w:t>
      </w:r>
      <w:r w:rsidRPr="002C2F29">
        <w:rPr>
          <w:b/>
          <w:sz w:val="28"/>
        </w:rPr>
        <w:t xml:space="preserve"> </w:t>
      </w:r>
      <w:r w:rsidRPr="002C2F29">
        <w:rPr>
          <w:sz w:val="28"/>
        </w:rPr>
        <w:t>Решение задач средствами текстового процессора, электронных таблиц, систем управления базами данных.</w:t>
      </w: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2 Решение задач с использованием языков программирования </w:t>
      </w:r>
      <w:r w:rsidRPr="002C2F29">
        <w:rPr>
          <w:sz w:val="28"/>
        </w:rPr>
        <w:t>Теоретические сведения о системах программирования. Особенности написания программ с использованием процедурного и объектно-ориентированного языков программирования. Технологии программирования. Решение задач с применением процедурного и объектно-ориентированного программирования.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2C2F29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2C2F29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</w:t>
      </w:r>
      <w:r w:rsidR="002C2F29">
        <w:rPr>
          <w:sz w:val="28"/>
          <w:szCs w:val="28"/>
        </w:rPr>
        <w:t>;</w:t>
      </w:r>
    </w:p>
    <w:p w:rsidR="00B86AC7" w:rsidRPr="00707D51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выполнение </w:t>
      </w:r>
      <w:r w:rsidR="00070C53">
        <w:rPr>
          <w:sz w:val="28"/>
          <w:szCs w:val="28"/>
        </w:rPr>
        <w:t>заданий для самоподготовки</w:t>
      </w:r>
      <w:r w:rsidR="00570CCE">
        <w:rPr>
          <w:sz w:val="28"/>
          <w:szCs w:val="28"/>
        </w:rPr>
        <w:t>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</w:t>
      </w:r>
      <w:r w:rsidRPr="00707D51">
        <w:rPr>
          <w:sz w:val="28"/>
          <w:szCs w:val="28"/>
        </w:rPr>
        <w:lastRenderedPageBreak/>
        <w:t>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070C53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</w:rPr>
      </w:pPr>
      <w:r w:rsidRPr="00070C53">
        <w:rPr>
          <w:sz w:val="28"/>
        </w:rPr>
        <w:t>Проектирование базы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Панели инструментов, строка формул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Работа с панелями инст</w:t>
      </w:r>
      <w:r w:rsidRPr="00070C53">
        <w:rPr>
          <w:sz w:val="28"/>
        </w:rPr>
        <w:t>рументов.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Типы данных в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Ввод и редактирование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Что такое база данных? Объекты базы данных </w:t>
      </w: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 xml:space="preserve">: выбор ячеек и операции с ними. Автозамена. Автозаполнение. </w:t>
      </w:r>
      <w:r w:rsidRPr="00070C53">
        <w:rPr>
          <w:sz w:val="28"/>
        </w:rPr>
        <w:t>Удаление содержимого ячеек.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: таблицы, создание таблиц. Общие сведения о таблицах.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2"/>
          <w:sz w:val="28"/>
          <w:lang w:val="en-US"/>
        </w:rPr>
        <w:t>Microsoft Word</w:t>
      </w:r>
      <w:r w:rsidRPr="00070C53">
        <w:rPr>
          <w:spacing w:val="-2"/>
          <w:sz w:val="28"/>
        </w:rPr>
        <w:t>: таблицы. Создание таблиц. Работа с таблицами.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: работа с книгой: перемещение по книге; вставка, удаление, пе</w:t>
      </w:r>
      <w:r w:rsidRPr="00070C53">
        <w:rPr>
          <w:spacing w:val="-5"/>
          <w:sz w:val="28"/>
        </w:rPr>
        <w:softHyphen/>
      </w:r>
      <w:r w:rsidRPr="00070C53">
        <w:rPr>
          <w:sz w:val="28"/>
        </w:rPr>
        <w:t>реименование, перемещение листов.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6"/>
          <w:sz w:val="28"/>
          <w:lang w:val="en-US"/>
        </w:rPr>
        <w:t>Microsoft Access</w:t>
      </w:r>
      <w:r w:rsidRPr="00070C53">
        <w:rPr>
          <w:spacing w:val="-6"/>
          <w:sz w:val="28"/>
        </w:rPr>
        <w:t>: создание связей между таблицами. Изменение структуры таб</w:t>
      </w:r>
      <w:r w:rsidRPr="00070C53">
        <w:rPr>
          <w:sz w:val="28"/>
        </w:rPr>
        <w:t>лиц в режиме Конструктор.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070C53">
        <w:rPr>
          <w:spacing w:val="-6"/>
          <w:sz w:val="28"/>
          <w:lang w:val="en-US"/>
        </w:rPr>
        <w:t>Microsoft</w:t>
      </w:r>
      <w:r w:rsidRPr="00070C53">
        <w:rPr>
          <w:spacing w:val="-6"/>
          <w:sz w:val="28"/>
        </w:rPr>
        <w:t xml:space="preserve"> </w:t>
      </w:r>
      <w:r w:rsidRPr="00070C53">
        <w:rPr>
          <w:spacing w:val="-6"/>
          <w:sz w:val="28"/>
          <w:lang w:val="en-US"/>
        </w:rPr>
        <w:t>Access</w:t>
      </w:r>
      <w:r w:rsidRPr="00070C53">
        <w:rPr>
          <w:spacing w:val="-6"/>
          <w:sz w:val="28"/>
        </w:rPr>
        <w:t>: что такое запросы. Создание запроса. Заполнение бланка за</w:t>
      </w:r>
      <w:r w:rsidRPr="00070C53">
        <w:rPr>
          <w:sz w:val="28"/>
        </w:rPr>
        <w:t>проса.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Простейшая целочисленная арифметика.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графические построения.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Обработка последовательностей символов.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Вложенные циклы в матричных задачах.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Использование процедур.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Файлы: записи в файл; подготовка к записи с начала файла; чтение из файла; подготовка к чтению с начала файла.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Целые числа: простые и составные числа.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Каноническое разложение. Алгоритм Эвклида.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Системы счисления: преобразование десятичного числа в системы с основанием 2, 8, 16.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десятичного числа в систему с основанием r.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Задачи на выделение и обработку десятичных цифр: суммирование десятичных цифр.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обменами.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файлов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lastRenderedPageBreak/>
        <w:t xml:space="preserve">Многочлены: схема Горнера для вычисления значения многочлена.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Операции над многочленами (возведение в степень; получение производной).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матриц: вставка столбцов и строк в матрицу.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Матричная алгебра: произведение матриц; транспонирование матриц.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Обращение матрицы.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Численные методы: решение нелинейных уравнений с одной переменной.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простой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итерации.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Эйлера.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Рунге-Кутта.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графиков функций на графическом экране.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кривых по заданному параметрическому распределению.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типовых геометрических элементов с применением формул преобразования координат.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движущихся (анимационных) изображений.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>Решение задач элементарной математики в Mathcad.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действия с матрицами.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дифференциальные уравнения первого порядка; линейные дифференциальные уравнения.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обыкновенные дифференцированные уравнения высших порядков.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Default="00070C53" w:rsidP="00070C53">
      <w:pPr>
        <w:rPr>
          <w:szCs w:val="22"/>
          <w:lang w:eastAsia="en-US"/>
        </w:rPr>
      </w:pP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070C53" w:rsidRPr="00070C53" w:rsidRDefault="00070C53" w:rsidP="00070C53">
      <w:pPr>
        <w:ind w:firstLine="709"/>
        <w:jc w:val="both"/>
        <w:rPr>
          <w:rStyle w:val="apple-converted-space"/>
          <w:sz w:val="28"/>
        </w:rPr>
      </w:pPr>
      <w:r w:rsidRPr="00070C53">
        <w:rPr>
          <w:bCs/>
          <w:sz w:val="28"/>
          <w:shd w:val="clear" w:color="auto" w:fill="FFFFFF"/>
        </w:rPr>
        <w:t>Информатика</w:t>
      </w:r>
      <w:r w:rsidRPr="00070C5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1" w:history="1">
        <w:r w:rsidRPr="00070C5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070C53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bookmarkStart w:id="19" w:name="_Toc6255803"/>
      <w:r w:rsidRPr="00070C53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070C53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070C53">
          <w:rPr>
            <w:rStyle w:val="af1"/>
            <w:sz w:val="28"/>
          </w:rPr>
          <w:t>http://biblioclub.ru/index.php?page=book_red&amp;id=258947&amp;sr=1</w:t>
        </w:r>
      </w:hyperlink>
      <w:r w:rsidRPr="00070C53">
        <w:rPr>
          <w:sz w:val="28"/>
        </w:rPr>
        <w:t>.</w:t>
      </w:r>
    </w:p>
    <w:p w:rsidR="009F479D" w:rsidRPr="009F479D" w:rsidRDefault="009F479D" w:rsidP="009F479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F479D">
        <w:rPr>
          <w:bCs/>
          <w:sz w:val="28"/>
        </w:rPr>
        <w:t>Москвитин А.А.</w:t>
      </w:r>
      <w:r w:rsidRPr="009F479D">
        <w:rPr>
          <w:sz w:val="28"/>
        </w:rPr>
        <w:t xml:space="preserve"> </w:t>
      </w:r>
      <w:r w:rsidRPr="009F479D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9F479D">
        <w:rPr>
          <w:sz w:val="28"/>
        </w:rPr>
        <w:t xml:space="preserve"> [Электронный ресурс]  / А.А. Москвитин. – Москва: Директ-Медиа, 2015. – Режим доступа: </w:t>
      </w:r>
      <w:hyperlink r:id="rId13" w:history="1">
        <w:r w:rsidRPr="0030329C">
          <w:rPr>
            <w:rStyle w:val="af1"/>
            <w:sz w:val="28"/>
          </w:rPr>
          <w:t>http://biblioclub.ru/index.php?page=</w:t>
        </w:r>
        <w:r w:rsidRPr="0030329C">
          <w:rPr>
            <w:rStyle w:val="af1"/>
            <w:sz w:val="28"/>
          </w:rPr>
          <w:br/>
          <w:t>book_red&amp;id=273666&amp;sr=1</w:t>
        </w:r>
      </w:hyperlink>
      <w:r w:rsidRPr="009F479D">
        <w:rPr>
          <w:sz w:val="28"/>
        </w:rPr>
        <w:t xml:space="preserve">. </w:t>
      </w:r>
    </w:p>
    <w:p w:rsidR="009F479D" w:rsidRPr="009F479D" w:rsidRDefault="009F479D" w:rsidP="009F479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F479D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Директ-Медиа, 2015. Режим доступа: </w:t>
      </w:r>
      <w:r w:rsidRPr="009F479D">
        <w:rPr>
          <w:sz w:val="28"/>
        </w:rPr>
        <w:t>http://biblioclub.ru/index.php?page=</w:t>
      </w:r>
      <w:r>
        <w:rPr>
          <w:sz w:val="28"/>
        </w:rPr>
        <w:br/>
      </w:r>
      <w:r w:rsidRPr="009F479D">
        <w:rPr>
          <w:sz w:val="28"/>
        </w:rPr>
        <w:t>book_red&amp;id=273667&amp;sr=1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70C53">
        <w:rPr>
          <w:bCs/>
          <w:sz w:val="28"/>
        </w:rPr>
        <w:t xml:space="preserve">Литвинова, С.А. Языки и системы программирования: учеб. пособие </w:t>
      </w:r>
      <w:r w:rsidRPr="00070C53">
        <w:rPr>
          <w:bCs/>
          <w:sz w:val="28"/>
          <w:lang w:val="en-US"/>
        </w:rPr>
        <w:t>[</w:t>
      </w:r>
      <w:r w:rsidRPr="00070C53">
        <w:rPr>
          <w:bCs/>
          <w:sz w:val="28"/>
        </w:rPr>
        <w:t>Электронный ресурс</w:t>
      </w:r>
      <w:r w:rsidRPr="00070C53">
        <w:rPr>
          <w:bCs/>
          <w:sz w:val="28"/>
          <w:lang w:val="en-US"/>
        </w:rPr>
        <w:t xml:space="preserve">] </w:t>
      </w:r>
      <w:r w:rsidRPr="00070C53">
        <w:rPr>
          <w:bCs/>
          <w:sz w:val="28"/>
        </w:rPr>
        <w:t xml:space="preserve">/ С.А. Литвинова: </w:t>
      </w:r>
      <w:r w:rsidRPr="00070C53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4" w:history="1">
        <w:r w:rsidRPr="00070C53">
          <w:rPr>
            <w:rStyle w:val="af1"/>
            <w:sz w:val="28"/>
          </w:rPr>
          <w:t>http://library.bgti.ru/Works.aspx?p=1</w:t>
        </w:r>
      </w:hyperlink>
      <w:r w:rsidRPr="00070C53">
        <w:rPr>
          <w:sz w:val="28"/>
        </w:rPr>
        <w:t>.</w:t>
      </w:r>
    </w:p>
    <w:p w:rsid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70C53">
        <w:rPr>
          <w:bCs/>
          <w:sz w:val="28"/>
        </w:rPr>
        <w:t xml:space="preserve">Литвинова, С.А. </w:t>
      </w:r>
      <w:r w:rsidRPr="00070C53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070C53">
        <w:rPr>
          <w:sz w:val="28"/>
          <w:szCs w:val="28"/>
        </w:rPr>
        <w:t xml:space="preserve">к лаб. работам </w:t>
      </w:r>
      <w:r w:rsidRPr="00070C53">
        <w:rPr>
          <w:sz w:val="28"/>
          <w:szCs w:val="28"/>
          <w:lang w:val="en-US"/>
        </w:rPr>
        <w:t>[</w:t>
      </w:r>
      <w:r w:rsidRPr="00070C53">
        <w:rPr>
          <w:sz w:val="28"/>
          <w:szCs w:val="28"/>
        </w:rPr>
        <w:t>Электронные ресурс</w:t>
      </w:r>
      <w:r w:rsidRPr="00070C53">
        <w:rPr>
          <w:sz w:val="28"/>
          <w:szCs w:val="28"/>
          <w:lang w:val="en-US"/>
        </w:rPr>
        <w:t xml:space="preserve">] </w:t>
      </w:r>
      <w:r w:rsidRPr="00070C53">
        <w:rPr>
          <w:sz w:val="28"/>
          <w:szCs w:val="28"/>
        </w:rPr>
        <w:t xml:space="preserve">/ С.А. Литвинова: Бузулукский гуманитарно-технологический институт (филиал) ОГУ. – Бузулук: БГТИ (филиал) ОГУ, 2012. – 59с. – Режим доступа: </w:t>
      </w:r>
      <w:hyperlink r:id="rId15" w:history="1">
        <w:r w:rsidRPr="00070C53">
          <w:rPr>
            <w:rStyle w:val="af1"/>
            <w:sz w:val="28"/>
          </w:rPr>
          <w:t>http://library.bgti.ru/Works.aspx?p=2</w:t>
        </w:r>
      </w:hyperlink>
      <w:r w:rsidRPr="00070C53">
        <w:rPr>
          <w:sz w:val="28"/>
        </w:rPr>
        <w:t>.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9F479D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C77C9B">
        <w:rPr>
          <w:color w:val="000000"/>
          <w:sz w:val="28"/>
          <w:szCs w:val="24"/>
          <w:lang w:val="ru-RU"/>
        </w:rPr>
        <w:t>8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</w:rPr>
      </w:pPr>
      <w:hyperlink r:id="rId16" w:history="1">
        <w:r w:rsidRPr="00CB083A">
          <w:rPr>
            <w:rStyle w:val="af1"/>
            <w:sz w:val="28"/>
          </w:rPr>
          <w:t>http://orencode.info/</w:t>
        </w:r>
      </w:hyperlink>
      <w:r w:rsidRPr="00CB083A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CB083A" w:rsidRPr="00CB083A" w:rsidRDefault="00CB083A" w:rsidP="00CB083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17" w:history="1">
        <w:r w:rsidRPr="00CB083A">
          <w:rPr>
            <w:rStyle w:val="af1"/>
            <w:sz w:val="28"/>
            <w:szCs w:val="28"/>
            <w:lang w:val="en-US"/>
          </w:rPr>
          <w:t>www</w:t>
        </w:r>
        <w:r w:rsidRPr="00CB083A">
          <w:rPr>
            <w:rStyle w:val="af1"/>
            <w:sz w:val="28"/>
            <w:szCs w:val="28"/>
          </w:rPr>
          <w:t>.</w:t>
        </w:r>
        <w:r w:rsidRPr="00CB083A">
          <w:rPr>
            <w:rStyle w:val="af1"/>
            <w:sz w:val="28"/>
            <w:szCs w:val="28"/>
            <w:lang w:val="en-US"/>
          </w:rPr>
          <w:t>biblioclub</w:t>
        </w:r>
        <w:r w:rsidRPr="00CB083A">
          <w:rPr>
            <w:rStyle w:val="af1"/>
            <w:sz w:val="28"/>
            <w:szCs w:val="28"/>
          </w:rPr>
          <w:t>.</w:t>
        </w:r>
        <w:r w:rsidRPr="00CB083A">
          <w:rPr>
            <w:rStyle w:val="af1"/>
            <w:sz w:val="28"/>
            <w:szCs w:val="28"/>
            <w:lang w:val="en-US"/>
          </w:rPr>
          <w:t>com</w:t>
        </w:r>
      </w:hyperlink>
      <w:r w:rsidRPr="00CB083A">
        <w:rPr>
          <w:rStyle w:val="af1"/>
          <w:sz w:val="28"/>
          <w:szCs w:val="28"/>
          <w:lang w:val="en-US"/>
        </w:rPr>
        <w:t xml:space="preserve"> </w:t>
      </w:r>
      <w:r w:rsidRPr="00CB083A">
        <w:rPr>
          <w:sz w:val="28"/>
          <w:szCs w:val="28"/>
        </w:rPr>
        <w:t xml:space="preserve">– </w:t>
      </w:r>
      <w:r w:rsidRPr="00CB083A">
        <w:rPr>
          <w:bCs/>
          <w:sz w:val="28"/>
          <w:szCs w:val="28"/>
        </w:rPr>
        <w:t>Электронно-библиотечная система «</w:t>
      </w:r>
      <w:r w:rsidRPr="00CB083A">
        <w:rPr>
          <w:sz w:val="28"/>
          <w:szCs w:val="28"/>
        </w:rPr>
        <w:t xml:space="preserve">Университетская библиотека онлайн» </w:t>
      </w:r>
    </w:p>
    <w:p w:rsidR="00CB083A" w:rsidRPr="00CB083A" w:rsidRDefault="00CB083A" w:rsidP="00CB083A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Pr="00CB083A">
          <w:rPr>
            <w:rStyle w:val="af1"/>
            <w:sz w:val="28"/>
            <w:lang w:val="en-US"/>
          </w:rPr>
          <w:t>www.</w:t>
        </w:r>
        <w:r w:rsidRPr="00CB083A">
          <w:rPr>
            <w:rStyle w:val="af1"/>
            <w:sz w:val="28"/>
          </w:rPr>
          <w:t>znanium.com</w:t>
        </w:r>
      </w:hyperlink>
      <w:r w:rsidRPr="00CB083A">
        <w:rPr>
          <w:sz w:val="28"/>
          <w:lang w:val="en-US"/>
        </w:rPr>
        <w:t xml:space="preserve">  </w:t>
      </w:r>
      <w:r w:rsidRPr="00CB083A">
        <w:rPr>
          <w:sz w:val="28"/>
        </w:rPr>
        <w:t xml:space="preserve">– </w:t>
      </w:r>
      <w:r w:rsidRPr="00CB083A">
        <w:rPr>
          <w:bCs/>
          <w:sz w:val="28"/>
          <w:szCs w:val="28"/>
        </w:rPr>
        <w:t>Электронно-библиотечная система «</w:t>
      </w:r>
      <w:r w:rsidRPr="00CB083A">
        <w:rPr>
          <w:sz w:val="28"/>
          <w:szCs w:val="28"/>
          <w:lang w:val="en-US"/>
        </w:rPr>
        <w:t>znanium.com</w:t>
      </w:r>
      <w:r w:rsidRPr="00CB083A">
        <w:rPr>
          <w:sz w:val="28"/>
          <w:szCs w:val="28"/>
        </w:rPr>
        <w:t>»</w:t>
      </w:r>
    </w:p>
    <w:p w:rsidR="00CB083A" w:rsidRPr="00CB083A" w:rsidRDefault="00CB083A" w:rsidP="00CB083A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Pr="00CB083A">
          <w:rPr>
            <w:rStyle w:val="af1"/>
            <w:sz w:val="28"/>
            <w:lang w:val="en-US"/>
          </w:rPr>
          <w:t>http</w:t>
        </w:r>
        <w:r w:rsidRPr="00CB083A">
          <w:rPr>
            <w:rStyle w:val="af1"/>
            <w:sz w:val="28"/>
          </w:rPr>
          <w:t>://</w:t>
        </w:r>
        <w:r w:rsidRPr="00CB083A">
          <w:rPr>
            <w:rStyle w:val="af1"/>
            <w:sz w:val="28"/>
            <w:lang w:val="en-US"/>
          </w:rPr>
          <w:t>www</w:t>
        </w:r>
        <w:r w:rsidRPr="00CB083A">
          <w:rPr>
            <w:rStyle w:val="af1"/>
            <w:sz w:val="28"/>
          </w:rPr>
          <w:t>.</w:t>
        </w:r>
        <w:r w:rsidRPr="00CB083A">
          <w:rPr>
            <w:rStyle w:val="af1"/>
            <w:sz w:val="28"/>
            <w:lang w:val="en-US"/>
          </w:rPr>
          <w:t>ipo</w:t>
        </w:r>
        <w:r w:rsidRPr="00CB083A">
          <w:rPr>
            <w:rStyle w:val="af1"/>
            <w:sz w:val="28"/>
          </w:rPr>
          <w:t>.</w:t>
        </w:r>
        <w:r w:rsidRPr="00CB083A">
          <w:rPr>
            <w:rStyle w:val="af1"/>
            <w:sz w:val="28"/>
            <w:lang w:val="en-US"/>
          </w:rPr>
          <w:t>spb</w:t>
        </w:r>
        <w:r w:rsidRPr="00CB083A">
          <w:rPr>
            <w:rStyle w:val="af1"/>
            <w:sz w:val="28"/>
          </w:rPr>
          <w:t>.</w:t>
        </w:r>
        <w:r w:rsidRPr="00CB083A">
          <w:rPr>
            <w:rStyle w:val="af1"/>
            <w:sz w:val="28"/>
            <w:lang w:val="en-US"/>
          </w:rPr>
          <w:t>ru</w:t>
        </w:r>
        <w:r w:rsidRPr="00CB083A">
          <w:rPr>
            <w:rStyle w:val="af1"/>
            <w:sz w:val="28"/>
          </w:rPr>
          <w:t>/</w:t>
        </w:r>
        <w:r w:rsidRPr="00CB083A">
          <w:rPr>
            <w:rStyle w:val="af1"/>
            <w:sz w:val="28"/>
            <w:lang w:val="en-US"/>
          </w:rPr>
          <w:t>journal</w:t>
        </w:r>
        <w:r w:rsidRPr="00CB083A">
          <w:rPr>
            <w:rStyle w:val="af1"/>
            <w:sz w:val="28"/>
          </w:rPr>
          <w:t>/</w:t>
        </w:r>
      </w:hyperlink>
      <w:r w:rsidRPr="00CB083A">
        <w:rPr>
          <w:sz w:val="28"/>
          <w:lang w:val="en-US"/>
        </w:rPr>
        <w:t xml:space="preserve"> – </w:t>
      </w:r>
      <w:r w:rsidRPr="00CB083A">
        <w:rPr>
          <w:sz w:val="28"/>
        </w:rPr>
        <w:t>Журнал «Компьютерные инструменты в образовании».</w:t>
      </w:r>
    </w:p>
    <w:p w:rsidR="00CB083A" w:rsidRPr="00CB083A" w:rsidRDefault="00CB083A" w:rsidP="00CB083A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20" w:history="1">
        <w:r w:rsidRPr="00CB083A">
          <w:rPr>
            <w:rStyle w:val="af1"/>
            <w:sz w:val="28"/>
          </w:rPr>
          <w:t>http://www.informika.ru/</w:t>
        </w:r>
      </w:hyperlink>
      <w:r w:rsidRPr="00CB083A">
        <w:rPr>
          <w:sz w:val="28"/>
          <w:lang w:val="en-US"/>
        </w:rPr>
        <w:t xml:space="preserve"> – </w:t>
      </w:r>
      <w:r w:rsidRPr="00CB083A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B083A">
        <w:rPr>
          <w:sz w:val="28"/>
          <w:szCs w:val="24"/>
        </w:rPr>
        <w:t xml:space="preserve">Операционная система </w:t>
      </w:r>
      <w:r w:rsidRPr="00CB083A">
        <w:rPr>
          <w:sz w:val="28"/>
          <w:szCs w:val="24"/>
          <w:lang w:val="en-US"/>
        </w:rPr>
        <w:t>Microsoft Windows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CB083A">
        <w:rPr>
          <w:sz w:val="28"/>
          <w:szCs w:val="24"/>
        </w:rPr>
        <w:t xml:space="preserve">Офисные приложения </w:t>
      </w:r>
      <w:r w:rsidRPr="00CB083A">
        <w:rPr>
          <w:sz w:val="28"/>
          <w:szCs w:val="24"/>
          <w:lang w:val="en-US"/>
        </w:rPr>
        <w:t>Microsoft Office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color w:val="000000"/>
          <w:sz w:val="28"/>
          <w:lang w:val="ru-RU"/>
        </w:rPr>
      </w:pPr>
      <w:r w:rsidRPr="00CB083A">
        <w:rPr>
          <w:color w:val="000000"/>
          <w:sz w:val="28"/>
        </w:rPr>
        <w:t>Служебное ПО Антивирус Касперского Academic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CB083A">
        <w:rPr>
          <w:sz w:val="28"/>
          <w:lang w:val="en-US"/>
        </w:rPr>
        <w:t>Delphi XE2 Professional Named ESD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CB083A">
        <w:rPr>
          <w:sz w:val="28"/>
          <w:szCs w:val="24"/>
        </w:rPr>
        <w:t>Веб-приложение «Универсальная система тестирования БГТИ»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</w:rPr>
      </w:pPr>
      <w:r w:rsidRPr="00CB083A">
        <w:rPr>
          <w:color w:val="000000"/>
          <w:sz w:val="28"/>
        </w:rPr>
        <w:lastRenderedPageBreak/>
        <w:t>WinRAR Academic</w:t>
      </w:r>
      <w:r w:rsidRPr="00CB083A">
        <w:rPr>
          <w:sz w:val="28"/>
        </w:rPr>
        <w:t xml:space="preserve"> 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</w:rPr>
      </w:pPr>
      <w:r w:rsidRPr="00CB083A">
        <w:rPr>
          <w:sz w:val="28"/>
        </w:rPr>
        <w:t>Яндекс-браузер</w:t>
      </w:r>
    </w:p>
    <w:p w:rsidR="00CB083A" w:rsidRPr="00CB083A" w:rsidRDefault="00CB083A" w:rsidP="00CB083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CB083A">
        <w:rPr>
          <w:sz w:val="28"/>
        </w:rPr>
        <w:t xml:space="preserve">СПС «Консультант Плюс» – Режим доступа: </w:t>
      </w:r>
      <w:hyperlink r:id="rId21" w:history="1">
        <w:r w:rsidRPr="00CB083A">
          <w:rPr>
            <w:rStyle w:val="af1"/>
            <w:sz w:val="28"/>
          </w:rPr>
          <w:t>http://www.consultant.ru/</w:t>
        </w:r>
      </w:hyperlink>
    </w:p>
    <w:p w:rsidR="00CB083A" w:rsidRPr="00CB083A" w:rsidRDefault="00CB083A" w:rsidP="00CB083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CB083A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CB083A">
          <w:rPr>
            <w:rStyle w:val="af1"/>
            <w:sz w:val="28"/>
          </w:rPr>
          <w:t>http://www.runnet.ru/</w:t>
        </w:r>
      </w:hyperlink>
      <w:r w:rsidRPr="00CB083A">
        <w:rPr>
          <w:sz w:val="28"/>
        </w:rPr>
        <w:t xml:space="preserve"> </w:t>
      </w:r>
    </w:p>
    <w:p w:rsidR="00CB083A" w:rsidRPr="00CB083A" w:rsidRDefault="00CB083A" w:rsidP="00CB083A">
      <w:pPr>
        <w:pStyle w:val="ReportMain"/>
        <w:suppressAutoHyphens/>
        <w:ind w:firstLine="709"/>
        <w:jc w:val="both"/>
        <w:rPr>
          <w:sz w:val="28"/>
        </w:rPr>
      </w:pPr>
      <w:r w:rsidRPr="00CB083A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CB083A">
          <w:rPr>
            <w:rStyle w:val="af1"/>
            <w:sz w:val="28"/>
          </w:rPr>
          <w:t>http://www.edu.ru</w:t>
        </w:r>
      </w:hyperlink>
    </w:p>
    <w:p w:rsidR="00CB083A" w:rsidRPr="00CB083A" w:rsidRDefault="00CB083A" w:rsidP="00CB083A">
      <w:pPr>
        <w:ind w:firstLine="709"/>
        <w:rPr>
          <w:sz w:val="28"/>
          <w:lang w:val="en-US"/>
        </w:rPr>
      </w:pPr>
      <w:r w:rsidRPr="00CB083A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CB083A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B083A" w:rsidRPr="00CB083A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D367F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E313E"/>
    <w:rsid w:val="00C36374"/>
    <w:rsid w:val="00C77C9B"/>
    <w:rsid w:val="00CB083A"/>
    <w:rsid w:val="00CD60EF"/>
    <w:rsid w:val="00CE2938"/>
    <w:rsid w:val="00D60F9A"/>
    <w:rsid w:val="00DC27C3"/>
    <w:rsid w:val="00DC64A9"/>
    <w:rsid w:val="00F35A58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znanium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://www.biblioclub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rencode.info/" TargetMode="External"/><Relationship Id="rId20" Type="http://schemas.openxmlformats.org/officeDocument/2006/relationships/hyperlink" Target="http://www.inform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205420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2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o.spb.ru/journ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bgti.ru/Works.aspx?p=1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64E-8D18-4729-A179-BD0DB65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2019-10-27T05:58:00Z</dcterms:created>
  <dcterms:modified xsi:type="dcterms:W3CDTF">2019-11-16T16:56:00Z</dcterms:modified>
</cp:coreProperties>
</file>