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1C3569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50169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501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9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501692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>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1C3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501692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0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31EE3" w:rsidRDefault="00831EE3" w:rsidP="00831EE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831EE3" w:rsidRDefault="00831EE3" w:rsidP="00831EE3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Б.1.Б.7 Право</w:t>
      </w: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Б.1.Б.20 Мировая экономика и международные экономические отношения</w:t>
      </w: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31EE3" w:rsidRDefault="00831EE3" w:rsidP="00831EE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bottomFromText="20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88"/>
        <w:gridCol w:w="4257"/>
      </w:tblGrid>
      <w:tr w:rsidR="00A873A9" w:rsidTr="00A873A9">
        <w:trPr>
          <w:tblHeader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A873A9" w:rsidTr="00A873A9"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</w:t>
            </w:r>
            <w:r>
              <w:rPr>
                <w:rFonts w:ascii="Calibri" w:eastAsia="Times New Roman" w:hAnsi="Calibri"/>
              </w:rPr>
              <w:lastRenderedPageBreak/>
              <w:t>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A9" w:rsidRDefault="00A873A9">
            <w:pPr>
              <w:pStyle w:val="ReportMain"/>
              <w:suppressAutoHyphens/>
              <w:spacing w:line="276" w:lineRule="auto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A873A9" w:rsidRDefault="00A873A9" w:rsidP="00831EE3">
      <w:pPr>
        <w:pStyle w:val="ReportMain"/>
        <w:suppressAutoHyphens/>
        <w:ind w:firstLine="709"/>
        <w:jc w:val="both"/>
      </w:pPr>
    </w:p>
    <w:p w:rsidR="00831EE3" w:rsidRDefault="00831EE3" w:rsidP="00831EE3">
      <w:pPr>
        <w:pStyle w:val="ReportMain"/>
        <w:suppressAutoHyphens/>
        <w:ind w:firstLine="709"/>
        <w:jc w:val="both"/>
      </w:pPr>
    </w:p>
    <w:p w:rsidR="0066004E" w:rsidRDefault="0066004E" w:rsidP="0066004E">
      <w:pPr>
        <w:pStyle w:val="ReportMain"/>
        <w:suppressAutoHyphens/>
        <w:ind w:firstLine="709"/>
        <w:jc w:val="both"/>
      </w:pPr>
    </w:p>
    <w:p w:rsidR="00B93A08" w:rsidRDefault="00400ABA" w:rsidP="0066004E">
      <w:pPr>
        <w:pStyle w:val="ReportMain"/>
        <w:suppressAutoHyphens/>
        <w:ind w:firstLine="709"/>
        <w:jc w:val="both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представление: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lastRenderedPageBreak/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lastRenderedPageBreak/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lastRenderedPageBreak/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5B63B0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5B63B0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</w:t>
      </w:r>
      <w:r w:rsidR="005B63B0">
        <w:rPr>
          <w:sz w:val="27"/>
          <w:szCs w:val="27"/>
        </w:rPr>
        <w:t xml:space="preserve">сеивать </w:t>
      </w:r>
      <w:r>
        <w:rPr>
          <w:sz w:val="27"/>
          <w:szCs w:val="27"/>
        </w:rPr>
        <w:t>внимание.</w:t>
      </w:r>
      <w:r w:rsidR="005B63B0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</w:t>
      </w:r>
      <w:r w:rsidR="00B212B6">
        <w:rPr>
          <w:color w:val="000000"/>
          <w:sz w:val="27"/>
          <w:szCs w:val="27"/>
        </w:rPr>
        <w:lastRenderedPageBreak/>
        <w:t>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66004E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 xml:space="preserve">стики философского знания. Функции философии. Философия как </w:t>
      </w:r>
      <w:r>
        <w:rPr>
          <w:szCs w:val="24"/>
        </w:rPr>
        <w:lastRenderedPageBreak/>
        <w:t>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lastRenderedPageBreak/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5B63B0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«отлично» - студент демонстрирует глубокие знания по излагаемой проблеме, делает выводы  по теоретическому изложению материала, умело </w:t>
      </w:r>
      <w:r>
        <w:rPr>
          <w:sz w:val="28"/>
          <w:szCs w:val="28"/>
        </w:rPr>
        <w:lastRenderedPageBreak/>
        <w:t>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CC06E9">
        <w:pPr>
          <w:pStyle w:val="a7"/>
          <w:jc w:val="center"/>
        </w:pPr>
        <w:fldSimple w:instr="PAGE   \* MERGEFORMAT">
          <w:r w:rsidR="00501692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5C90"/>
    <w:rsid w:val="001575FA"/>
    <w:rsid w:val="00163B1E"/>
    <w:rsid w:val="00186E2C"/>
    <w:rsid w:val="001A6D1C"/>
    <w:rsid w:val="001A79DD"/>
    <w:rsid w:val="001B1A33"/>
    <w:rsid w:val="001C3569"/>
    <w:rsid w:val="001C60C5"/>
    <w:rsid w:val="001D7710"/>
    <w:rsid w:val="001E0C46"/>
    <w:rsid w:val="001E4BA5"/>
    <w:rsid w:val="001F6427"/>
    <w:rsid w:val="00226CDC"/>
    <w:rsid w:val="002424BE"/>
    <w:rsid w:val="002514BD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1692"/>
    <w:rsid w:val="005364C3"/>
    <w:rsid w:val="005612A7"/>
    <w:rsid w:val="005655FF"/>
    <w:rsid w:val="00572EE0"/>
    <w:rsid w:val="00576053"/>
    <w:rsid w:val="00577215"/>
    <w:rsid w:val="005B4732"/>
    <w:rsid w:val="005B63B0"/>
    <w:rsid w:val="005D4EC5"/>
    <w:rsid w:val="005E3463"/>
    <w:rsid w:val="005E431D"/>
    <w:rsid w:val="005F265A"/>
    <w:rsid w:val="005F64BE"/>
    <w:rsid w:val="00602D51"/>
    <w:rsid w:val="0066004E"/>
    <w:rsid w:val="0066682C"/>
    <w:rsid w:val="00683D2C"/>
    <w:rsid w:val="006908BD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EE3"/>
    <w:rsid w:val="00845520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873A9"/>
    <w:rsid w:val="00A91AD6"/>
    <w:rsid w:val="00A9504F"/>
    <w:rsid w:val="00AA516C"/>
    <w:rsid w:val="00AC1419"/>
    <w:rsid w:val="00AF3812"/>
    <w:rsid w:val="00AF726C"/>
    <w:rsid w:val="00B07C18"/>
    <w:rsid w:val="00B13E4F"/>
    <w:rsid w:val="00B212B6"/>
    <w:rsid w:val="00B37660"/>
    <w:rsid w:val="00B40578"/>
    <w:rsid w:val="00B55747"/>
    <w:rsid w:val="00B70C03"/>
    <w:rsid w:val="00B7266B"/>
    <w:rsid w:val="00B80AC3"/>
    <w:rsid w:val="00B93A08"/>
    <w:rsid w:val="00B968D8"/>
    <w:rsid w:val="00BC2584"/>
    <w:rsid w:val="00BD025A"/>
    <w:rsid w:val="00BD3C36"/>
    <w:rsid w:val="00BE0DFA"/>
    <w:rsid w:val="00BE1369"/>
    <w:rsid w:val="00BE2DBF"/>
    <w:rsid w:val="00C00B55"/>
    <w:rsid w:val="00C021A9"/>
    <w:rsid w:val="00C02445"/>
    <w:rsid w:val="00C07CA2"/>
    <w:rsid w:val="00C53504"/>
    <w:rsid w:val="00C57AA9"/>
    <w:rsid w:val="00C634E0"/>
    <w:rsid w:val="00C70920"/>
    <w:rsid w:val="00C83122"/>
    <w:rsid w:val="00C92FDE"/>
    <w:rsid w:val="00CA2AEC"/>
    <w:rsid w:val="00CA3E82"/>
    <w:rsid w:val="00CC06E9"/>
    <w:rsid w:val="00CE2CD7"/>
    <w:rsid w:val="00D21FDD"/>
    <w:rsid w:val="00D26A24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7877"/>
    <w:rsid w:val="00E43E0B"/>
    <w:rsid w:val="00E548E6"/>
    <w:rsid w:val="00E604E5"/>
    <w:rsid w:val="00E7570F"/>
    <w:rsid w:val="00E847AC"/>
    <w:rsid w:val="00E84A4D"/>
    <w:rsid w:val="00E85676"/>
    <w:rsid w:val="00E94C0E"/>
    <w:rsid w:val="00EC45E6"/>
    <w:rsid w:val="00EF0B65"/>
    <w:rsid w:val="00F023A0"/>
    <w:rsid w:val="00F14392"/>
    <w:rsid w:val="00F1559F"/>
    <w:rsid w:val="00F46FAD"/>
    <w:rsid w:val="00F919E3"/>
    <w:rsid w:val="00FA0F7E"/>
    <w:rsid w:val="00FA523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8E34-EC15-4D2B-AC58-2E072EF3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27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75</cp:revision>
  <dcterms:created xsi:type="dcterms:W3CDTF">2016-10-09T16:26:00Z</dcterms:created>
  <dcterms:modified xsi:type="dcterms:W3CDTF">2019-12-15T14:59:00Z</dcterms:modified>
</cp:coreProperties>
</file>