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712475">
        <w:rPr>
          <w:sz w:val="28"/>
          <w:szCs w:val="28"/>
        </w:rPr>
        <w:t>юриспруденции</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3974BF" w:rsidRDefault="003974BF" w:rsidP="003974BF">
      <w:pPr>
        <w:pStyle w:val="ReportHead"/>
        <w:suppressAutoHyphens/>
        <w:rPr>
          <w:i/>
          <w:sz w:val="28"/>
          <w:szCs w:val="28"/>
          <w:u w:val="single"/>
        </w:rPr>
      </w:pPr>
      <w:bookmarkStart w:id="1" w:name="BookmarkWhereDelChr13"/>
      <w:bookmarkEnd w:id="1"/>
      <w:r>
        <w:rPr>
          <w:i/>
          <w:sz w:val="28"/>
          <w:szCs w:val="28"/>
          <w:u w:val="single"/>
        </w:rPr>
        <w:t>Заочная</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1942EA">
        <w:rPr>
          <w:sz w:val="28"/>
          <w:szCs w:val="28"/>
        </w:rPr>
        <w:t>9</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712475" w:rsidP="00583C40">
      <w:pPr>
        <w:pStyle w:val="ReportHead"/>
        <w:tabs>
          <w:tab w:val="left" w:pos="10432"/>
        </w:tabs>
        <w:suppressAutoHyphens/>
        <w:jc w:val="left"/>
        <w:rPr>
          <w:sz w:val="28"/>
          <w:szCs w:val="28"/>
          <w:u w:val="single"/>
        </w:rPr>
      </w:pPr>
      <w:r>
        <w:rPr>
          <w:sz w:val="28"/>
          <w:szCs w:val="28"/>
          <w:u w:val="single"/>
        </w:rPr>
        <w:t>юриспруденции</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712475">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от "</w:t>
      </w:r>
      <w:r w:rsidR="001942EA">
        <w:rPr>
          <w:rFonts w:ascii="Times New Roman" w:eastAsia="Calibri" w:hAnsi="Times New Roman" w:cs="Times New Roman"/>
          <w:sz w:val="28"/>
          <w:szCs w:val="28"/>
        </w:rPr>
        <w:t>20</w:t>
      </w:r>
      <w:r w:rsidRPr="00D3332C">
        <w:rPr>
          <w:rFonts w:ascii="Times New Roman" w:eastAsia="Calibri" w:hAnsi="Times New Roman" w:cs="Times New Roman"/>
          <w:sz w:val="28"/>
          <w:szCs w:val="28"/>
        </w:rPr>
        <w:t xml:space="preserve">" </w:t>
      </w:r>
      <w:r w:rsidR="00712475">
        <w:rPr>
          <w:rFonts w:ascii="Times New Roman" w:eastAsia="Calibri" w:hAnsi="Times New Roman" w:cs="Times New Roman"/>
          <w:sz w:val="28"/>
          <w:szCs w:val="28"/>
        </w:rPr>
        <w:t>февраля</w:t>
      </w:r>
      <w:r w:rsidRPr="00D3332C">
        <w:rPr>
          <w:rFonts w:ascii="Times New Roman" w:eastAsia="Calibri" w:hAnsi="Times New Roman" w:cs="Times New Roman"/>
          <w:sz w:val="28"/>
          <w:szCs w:val="28"/>
        </w:rPr>
        <w:t xml:space="preserve"> 201</w:t>
      </w:r>
      <w:r w:rsidR="001942EA">
        <w:rPr>
          <w:rFonts w:ascii="Times New Roman" w:eastAsia="Calibri" w:hAnsi="Times New Roman" w:cs="Times New Roman"/>
          <w:sz w:val="28"/>
          <w:szCs w:val="28"/>
        </w:rPr>
        <w:t>9</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DA" w:rsidRDefault="00AB5FDA" w:rsidP="00D64020">
      <w:pPr>
        <w:spacing w:after="0" w:line="240" w:lineRule="auto"/>
      </w:pPr>
      <w:r>
        <w:separator/>
      </w:r>
    </w:p>
  </w:endnote>
  <w:endnote w:type="continuationSeparator" w:id="0">
    <w:p w:rsidR="00AB5FDA" w:rsidRDefault="00AB5FDA"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DA" w:rsidRDefault="00AB5FDA" w:rsidP="00D64020">
      <w:pPr>
        <w:spacing w:after="0" w:line="240" w:lineRule="auto"/>
      </w:pPr>
      <w:r>
        <w:separator/>
      </w:r>
    </w:p>
  </w:footnote>
  <w:footnote w:type="continuationSeparator" w:id="0">
    <w:p w:rsidR="00AB5FDA" w:rsidRDefault="00AB5FDA"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942EA"/>
    <w:rsid w:val="001A4DC9"/>
    <w:rsid w:val="001C1946"/>
    <w:rsid w:val="00245BC8"/>
    <w:rsid w:val="00260C4A"/>
    <w:rsid w:val="002D0B73"/>
    <w:rsid w:val="0030127B"/>
    <w:rsid w:val="00346962"/>
    <w:rsid w:val="003974BF"/>
    <w:rsid w:val="003B0080"/>
    <w:rsid w:val="00435F7C"/>
    <w:rsid w:val="00450691"/>
    <w:rsid w:val="004C01C7"/>
    <w:rsid w:val="004E7163"/>
    <w:rsid w:val="00515EBD"/>
    <w:rsid w:val="005602A6"/>
    <w:rsid w:val="00572477"/>
    <w:rsid w:val="00580A79"/>
    <w:rsid w:val="00583C40"/>
    <w:rsid w:val="005E1C99"/>
    <w:rsid w:val="005E5A08"/>
    <w:rsid w:val="005E63B5"/>
    <w:rsid w:val="005F5BAC"/>
    <w:rsid w:val="00601501"/>
    <w:rsid w:val="00633003"/>
    <w:rsid w:val="00636501"/>
    <w:rsid w:val="00681420"/>
    <w:rsid w:val="006B763C"/>
    <w:rsid w:val="006F1AEB"/>
    <w:rsid w:val="00712475"/>
    <w:rsid w:val="00720F83"/>
    <w:rsid w:val="00722B35"/>
    <w:rsid w:val="007C5501"/>
    <w:rsid w:val="00807E30"/>
    <w:rsid w:val="00863BDC"/>
    <w:rsid w:val="008658A8"/>
    <w:rsid w:val="00870E1B"/>
    <w:rsid w:val="00892652"/>
    <w:rsid w:val="008A4F09"/>
    <w:rsid w:val="008A60E2"/>
    <w:rsid w:val="008B1823"/>
    <w:rsid w:val="008C5306"/>
    <w:rsid w:val="008D2C95"/>
    <w:rsid w:val="009C1C9F"/>
    <w:rsid w:val="009F7EA4"/>
    <w:rsid w:val="00A35C3A"/>
    <w:rsid w:val="00A7120C"/>
    <w:rsid w:val="00AB5FDA"/>
    <w:rsid w:val="00AC0C82"/>
    <w:rsid w:val="00AE576F"/>
    <w:rsid w:val="00AE690F"/>
    <w:rsid w:val="00B05DF1"/>
    <w:rsid w:val="00B123AC"/>
    <w:rsid w:val="00B36034"/>
    <w:rsid w:val="00B644D5"/>
    <w:rsid w:val="00B96E03"/>
    <w:rsid w:val="00BA7D5B"/>
    <w:rsid w:val="00BF244F"/>
    <w:rsid w:val="00C07A19"/>
    <w:rsid w:val="00C87039"/>
    <w:rsid w:val="00CF4836"/>
    <w:rsid w:val="00D3332C"/>
    <w:rsid w:val="00D43756"/>
    <w:rsid w:val="00D64020"/>
    <w:rsid w:val="00D82289"/>
    <w:rsid w:val="00DA22E1"/>
    <w:rsid w:val="00DC5149"/>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63518909">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3161-874B-42E4-AAC8-AF04E671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15908</Words>
  <Characters>90681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4</cp:revision>
  <cp:lastPrinted>2019-11-11T10:35:00Z</cp:lastPrinted>
  <dcterms:created xsi:type="dcterms:W3CDTF">2019-12-01T19:25:00Z</dcterms:created>
  <dcterms:modified xsi:type="dcterms:W3CDTF">2019-12-09T00:21:00Z</dcterms:modified>
</cp:coreProperties>
</file>