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3D5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215A8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215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3D5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 xml:space="preserve">гам в организации индивидуальной и групповой </w:t>
      </w:r>
      <w:proofErr w:type="spellStart"/>
      <w:r w:rsidRPr="00466CFA">
        <w:rPr>
          <w:rFonts w:ascii="Times New Roman" w:hAnsi="Times New Roman" w:cs="Times New Roman"/>
          <w:sz w:val="28"/>
        </w:rPr>
        <w:t>учебнопознавательной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46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66" w:rsidRDefault="00802166" w:rsidP="00817BE6">
      <w:pPr>
        <w:spacing w:after="0" w:line="240" w:lineRule="auto"/>
      </w:pPr>
      <w:r>
        <w:separator/>
      </w:r>
    </w:p>
  </w:endnote>
  <w:endnote w:type="continuationSeparator" w:id="0">
    <w:p w:rsidR="00802166" w:rsidRDefault="0080216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66" w:rsidRDefault="00802166" w:rsidP="00817BE6">
      <w:pPr>
        <w:spacing w:after="0" w:line="240" w:lineRule="auto"/>
      </w:pPr>
      <w:r>
        <w:separator/>
      </w:r>
    </w:p>
  </w:footnote>
  <w:footnote w:type="continuationSeparator" w:id="0">
    <w:p w:rsidR="00802166" w:rsidRDefault="0080216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15A88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D5D7C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02166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23A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3CE6-D562-4A44-B558-1736F4C7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12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36</cp:revision>
  <dcterms:created xsi:type="dcterms:W3CDTF">2016-10-09T16:26:00Z</dcterms:created>
  <dcterms:modified xsi:type="dcterms:W3CDTF">2020-09-15T09:29:00Z</dcterms:modified>
</cp:coreProperties>
</file>