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Кафедра гражданского права и процесса</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B46635"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чная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532615"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3181F">
        <w:rPr>
          <w:rFonts w:ascii="Times New Roman" w:eastAsia="Calibri" w:hAnsi="Times New Roman" w:cs="Times New Roman"/>
          <w:sz w:val="24"/>
          <w:szCs w:val="24"/>
          <w:u w:val="single"/>
        </w:rPr>
        <w:t>гражданского права и процесса</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EE22BA" w:rsidRPr="00D3181F">
        <w:rPr>
          <w:rFonts w:ascii="Times New Roman" w:eastAsia="Calibri" w:hAnsi="Times New Roman" w:cs="Times New Roman"/>
          <w:sz w:val="24"/>
          <w:szCs w:val="24"/>
          <w:u w:val="single"/>
        </w:rPr>
        <w:t xml:space="preserve">9 от 13.03.2017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5"/>
        <w:gridCol w:w="5149"/>
        <w:gridCol w:w="2167"/>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970033" w:rsidP="00153D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 / С.1</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w:t>
            </w:r>
            <w:r w:rsidRPr="00D3181F">
              <w:rPr>
                <w:rFonts w:ascii="Times New Roman" w:eastAsia="Times New Roman" w:hAnsi="Times New Roman" w:cs="Times New Roman"/>
                <w:sz w:val="24"/>
                <w:szCs w:val="24"/>
                <w:lang w:eastAsia="ru-RU"/>
              </w:rPr>
              <w:lastRenderedPageBreak/>
              <w:t>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анализировать различные правовые явления, </w:t>
            </w:r>
            <w:r w:rsidRPr="00D3181F">
              <w:rPr>
                <w:rFonts w:ascii="Times New Roman" w:eastAsia="Times New Roman" w:hAnsi="Times New Roman" w:cs="Times New Roman"/>
                <w:sz w:val="24"/>
                <w:szCs w:val="24"/>
                <w:lang w:eastAsia="ru-RU"/>
              </w:rPr>
              <w:lastRenderedPageBreak/>
              <w:t xml:space="preserve">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Практические </w:t>
            </w:r>
            <w:r>
              <w:rPr>
                <w:rFonts w:ascii="Times New Roman" w:eastAsia="Times New Roman" w:hAnsi="Times New Roman" w:cs="Times New Roman"/>
                <w:sz w:val="24"/>
                <w:szCs w:val="24"/>
                <w:lang w:eastAsia="ru-RU"/>
              </w:rPr>
              <w:lastRenderedPageBreak/>
              <w:t>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575EC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624FF9" w:rsidRPr="00624FF9"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Pr="00624FF9">
        <w:t xml:space="preserve"> </w:t>
      </w:r>
      <w:r w:rsidRPr="00624FF9">
        <w:rPr>
          <w:rFonts w:ascii="Times New Roman" w:eastAsia="Times New Roman" w:hAnsi="Times New Roman" w:cs="Times New Roman"/>
          <w:sz w:val="24"/>
          <w:szCs w:val="24"/>
        </w:rPr>
        <w:t>Рубежный контроль проходит в форме написания контрольной работы</w:t>
      </w:r>
      <w:r>
        <w:rPr>
          <w:rFonts w:ascii="Times New Roman" w:eastAsia="Times New Roman" w:hAnsi="Times New Roman" w:cs="Times New Roman"/>
          <w:sz w:val="24"/>
          <w:szCs w:val="24"/>
        </w:rPr>
        <w:t xml:space="preserve"> либо в форме тестирования. </w:t>
      </w:r>
      <w:r w:rsidRPr="00624FF9">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p>
    <w:p w:rsidR="00213CDD" w:rsidRDefault="00624FF9" w:rsidP="00624FF9">
      <w:pPr>
        <w:spacing w:after="0" w:line="240" w:lineRule="auto"/>
        <w:ind w:firstLine="709"/>
        <w:jc w:val="both"/>
        <w:rPr>
          <w:rFonts w:ascii="Times New Roman" w:eastAsia="Times New Roman" w:hAnsi="Times New Roman" w:cs="Times New Roman"/>
          <w:sz w:val="24"/>
          <w:szCs w:val="24"/>
        </w:rPr>
      </w:pPr>
      <w:r w:rsidRPr="00624FF9">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24FF9" w:rsidRDefault="00624FF9"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5D" w:rsidRDefault="005B7D5D" w:rsidP="00A13401">
      <w:pPr>
        <w:spacing w:after="0" w:line="240" w:lineRule="auto"/>
      </w:pPr>
      <w:r>
        <w:separator/>
      </w:r>
    </w:p>
  </w:endnote>
  <w:endnote w:type="continuationSeparator" w:id="0">
    <w:p w:rsidR="005B7D5D" w:rsidRDefault="005B7D5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5D" w:rsidRDefault="005B7D5D" w:rsidP="00A13401">
      <w:pPr>
        <w:spacing w:after="0" w:line="240" w:lineRule="auto"/>
      </w:pPr>
      <w:r>
        <w:separator/>
      </w:r>
    </w:p>
  </w:footnote>
  <w:footnote w:type="continuationSeparator" w:id="0">
    <w:p w:rsidR="005B7D5D" w:rsidRDefault="005B7D5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21FC2"/>
    <w:rsid w:val="00624FF9"/>
    <w:rsid w:val="006276C9"/>
    <w:rsid w:val="00630F5B"/>
    <w:rsid w:val="00650C1F"/>
    <w:rsid w:val="006530B6"/>
    <w:rsid w:val="0066132A"/>
    <w:rsid w:val="00667FC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96592"/>
    <w:rsid w:val="009E61B1"/>
    <w:rsid w:val="00A003FE"/>
    <w:rsid w:val="00A13401"/>
    <w:rsid w:val="00A219E5"/>
    <w:rsid w:val="00A21E9B"/>
    <w:rsid w:val="00A3582A"/>
    <w:rsid w:val="00A3786F"/>
    <w:rsid w:val="00A43E26"/>
    <w:rsid w:val="00A43E47"/>
    <w:rsid w:val="00AA1760"/>
    <w:rsid w:val="00AD6B91"/>
    <w:rsid w:val="00AF740A"/>
    <w:rsid w:val="00B02AC3"/>
    <w:rsid w:val="00B33AA4"/>
    <w:rsid w:val="00B46635"/>
    <w:rsid w:val="00B579F1"/>
    <w:rsid w:val="00B60E99"/>
    <w:rsid w:val="00B60FF8"/>
    <w:rsid w:val="00B61AF9"/>
    <w:rsid w:val="00B66D18"/>
    <w:rsid w:val="00BA02ED"/>
    <w:rsid w:val="00BE443D"/>
    <w:rsid w:val="00C215AE"/>
    <w:rsid w:val="00C343E1"/>
    <w:rsid w:val="00C37027"/>
    <w:rsid w:val="00C62DE4"/>
    <w:rsid w:val="00C62F0F"/>
    <w:rsid w:val="00C831AA"/>
    <w:rsid w:val="00C848F7"/>
    <w:rsid w:val="00CA12D4"/>
    <w:rsid w:val="00CB38AF"/>
    <w:rsid w:val="00CD6EC5"/>
    <w:rsid w:val="00CF71CE"/>
    <w:rsid w:val="00D00F00"/>
    <w:rsid w:val="00D070AD"/>
    <w:rsid w:val="00D202AB"/>
    <w:rsid w:val="00D3181F"/>
    <w:rsid w:val="00D417A8"/>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B585-91AE-4A42-AB5D-FEEEA5ED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19311</Words>
  <Characters>110076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cp:revision>
  <cp:lastPrinted>2019-11-27T04:36:00Z</cp:lastPrinted>
  <dcterms:created xsi:type="dcterms:W3CDTF">2019-11-27T04:31:00Z</dcterms:created>
  <dcterms:modified xsi:type="dcterms:W3CDTF">2019-11-27T04:36:00Z</dcterms:modified>
</cp:coreProperties>
</file>