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</w:t>
      </w:r>
      <w:r w:rsidR="0097399E">
        <w:rPr>
          <w:sz w:val="24"/>
          <w:szCs w:val="24"/>
        </w:rPr>
        <w:t>7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97399E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97399E">
        <w:rPr>
          <w:sz w:val="24"/>
          <w:u w:val="single"/>
        </w:rPr>
        <w:t>Фрол</w:t>
      </w:r>
      <w:bookmarkStart w:id="0" w:name="_GoBack"/>
      <w:bookmarkEnd w:id="0"/>
      <w:r w:rsidRPr="002116DE">
        <w:rPr>
          <w:sz w:val="24"/>
          <w:u w:val="single"/>
        </w:rPr>
        <w:t>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CD47FB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6" w:name="page36"/>
      <w:bookmarkEnd w:id="16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D579B1" w:rsidRPr="00CD47FB">
        <w:rPr>
          <w:b/>
          <w:sz w:val="24"/>
          <w:szCs w:val="24"/>
        </w:rPr>
        <w:t>Тематика</w:t>
      </w:r>
      <w:r w:rsidR="006B7A9A" w:rsidRPr="00CD47FB">
        <w:rPr>
          <w:b/>
          <w:sz w:val="24"/>
          <w:szCs w:val="24"/>
        </w:rPr>
        <w:t xml:space="preserve"> </w:t>
      </w:r>
      <w:r w:rsidR="00C91F23" w:rsidRPr="00CD47FB">
        <w:rPr>
          <w:b/>
          <w:sz w:val="24"/>
          <w:szCs w:val="24"/>
        </w:rPr>
        <w:t>условий рубежного контроля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A4903" w:rsidRPr="00AA4903" w:rsidRDefault="00AA4903" w:rsidP="00D579B1">
      <w:pPr>
        <w:pStyle w:val="Default"/>
        <w:ind w:firstLine="709"/>
        <w:jc w:val="both"/>
        <w:rPr>
          <w:bCs/>
          <w:color w:val="auto"/>
        </w:rPr>
      </w:pPr>
      <w:r w:rsidRPr="00AA4903">
        <w:rPr>
          <w:bCs/>
          <w:color w:val="auto"/>
        </w:rPr>
        <w:t>Примерные темы</w:t>
      </w:r>
      <w:r>
        <w:rPr>
          <w:bCs/>
          <w:color w:val="auto"/>
        </w:rPr>
        <w:t xml:space="preserve"> для проведения рубежного контроля:</w:t>
      </w:r>
    </w:p>
    <w:p w:rsidR="00C4759D" w:rsidRPr="00CD47FB" w:rsidRDefault="00C4759D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 и принципы анализа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Необходимость и функции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Задачи, функции и принципы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Теория предвидения Н.Д. Кондратьева и методология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циклов и кризисов.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Прогнозные показатели, балансы и сценарии.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и развитие балансового метода.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Схема балансовой межотраслевой модели и ее применение в прогнозировании и стратегическом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Законодательное обеспечение прогнозно-плановой работы.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Политические инструменты и административный механизм.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Прогнозы и планы на уровне корпораций и предприятий.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Демографическое прогнозирование.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труда и занятости.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динамики уровня жизни.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социального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научно-технического прогресса и их эффективное использование.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науки и изобретательской деятельности и использования их достижений.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Прогнозирование, стратегическое планирование инновационной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Перспективы развития инновационно-инвестиционного сектора.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прогнозирования и планирования экономической динамики в современных условиях.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макроэкономического развития.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структуры экономики.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Понятие, состав и динамика агропродовольственного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Методологические основы прогнозирования и стратегического планирования агропромышленного комплекса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Государственные программы развития сельского хозяйства и регулирования рынков сельскохозяйственной продукции, сырья и продовольствия.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Формирование системы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Этапы и алгоритмы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Организация стратегического планирования на уровне субъектов Федерации и муниципальных образований.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мирового рынка и внешнеэкономической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мировой экономики.</w:t>
      </w:r>
    </w:p>
    <w:p w:rsidR="00F1561A" w:rsidRPr="00CD47FB" w:rsidRDefault="00F1561A" w:rsidP="00F1561A">
      <w:pPr>
        <w:pStyle w:val="af1"/>
        <w:widowControl w:val="0"/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0105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и стратегическое планирование развития внешнеэкономических связей России.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Зарубежный опыт технологического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развитых стран в прогнозировании и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Финансовое планирование в ФРГ.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стратегического планирования во Франции.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Роль экономического планирования в Японии.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Китайский опыт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Поисковый и нормативный подходы в прогнозировании.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методов экстраполяции.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интуитивных методов прогнозирования. Методы отбора экспертов.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индивидуальных экспертных оценок.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 помощью метода «мозговой атаки» («мозгового штурма», «коллективной генерации идей»).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Построение прогнозов с помощью метода </w:t>
      </w:r>
      <w:proofErr w:type="spellStart"/>
      <w:r w:rsidRPr="00CD47FB">
        <w:rPr>
          <w:sz w:val="24"/>
          <w:szCs w:val="24"/>
        </w:rPr>
        <w:t>Дельфи</w:t>
      </w:r>
      <w:proofErr w:type="spellEnd"/>
      <w:r w:rsidRPr="00CD47FB">
        <w:rPr>
          <w:sz w:val="24"/>
          <w:szCs w:val="24"/>
        </w:rPr>
        <w:t>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Экономический рост, макроэкономические цели, макроэкономические показатели и макроэкономические счета как объекты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макроэкономических показателей и экономического роста.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Население как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разработки демографических прогнозов.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Методика прогнозирования общей численности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системы образования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сети здравоохранения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жилищно-коммунального хозяйства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Методы, используемые при прогнозировании рынка труда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Уровень жизни населения как объект прогнозирования. Показатели, используемые при разработке прогнозов уровня жизни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на основе баланса денежных доходов и расходов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CD47FB">
        <w:rPr>
          <w:sz w:val="24"/>
          <w:szCs w:val="24"/>
        </w:rPr>
        <w:t>Разработка прогнозов величины прожиточного минимума.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Отраслевые экономические прогнозы: сущность,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отраслевых прогнозов.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7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lastRenderedPageBreak/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</w:t>
            </w:r>
            <w:r w:rsidRPr="00CA5F5F">
              <w:rPr>
                <w:szCs w:val="24"/>
              </w:rPr>
              <w:lastRenderedPageBreak/>
              <w:t>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</w:t>
      </w:r>
      <w:proofErr w:type="gramEnd"/>
      <w:r w:rsidRPr="005B1995">
        <w:rPr>
          <w:sz w:val="24"/>
          <w:szCs w:val="24"/>
        </w:rPr>
        <w:t>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</w:t>
      </w:r>
      <w:r w:rsidRPr="00CA5F5F">
        <w:rPr>
          <w:sz w:val="24"/>
          <w:szCs w:val="24"/>
        </w:rPr>
        <w:t>н</w:t>
      </w:r>
      <w:r w:rsidRPr="00CA5F5F">
        <w:rPr>
          <w:sz w:val="24"/>
          <w:szCs w:val="24"/>
        </w:rPr>
        <w:t xml:space="preserve">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39" w:rsidRDefault="003A2C39">
      <w:r>
        <w:separator/>
      </w:r>
    </w:p>
  </w:endnote>
  <w:endnote w:type="continuationSeparator" w:id="0">
    <w:p w:rsidR="003A2C39" w:rsidRDefault="003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39" w:rsidRDefault="003A2C39">
      <w:r>
        <w:separator/>
      </w:r>
    </w:p>
  </w:footnote>
  <w:footnote w:type="continuationSeparator" w:id="0">
    <w:p w:rsidR="003A2C39" w:rsidRDefault="003A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E7EA9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532F"/>
    <w:rsid w:val="0084796C"/>
    <w:rsid w:val="008544D5"/>
    <w:rsid w:val="0086592D"/>
    <w:rsid w:val="0089180E"/>
    <w:rsid w:val="008B094F"/>
    <w:rsid w:val="00914A32"/>
    <w:rsid w:val="00966C72"/>
    <w:rsid w:val="0097399E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D78E8"/>
    <w:rsid w:val="00B60304"/>
    <w:rsid w:val="00BC1808"/>
    <w:rsid w:val="00BE5B8E"/>
    <w:rsid w:val="00C330BB"/>
    <w:rsid w:val="00C41E19"/>
    <w:rsid w:val="00C4759D"/>
    <w:rsid w:val="00C55DA4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352A-3A0A-4AD6-BDAE-E4484E9B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13641</Words>
  <Characters>77757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2019-12-08T07:41:00Z</dcterms:created>
  <dcterms:modified xsi:type="dcterms:W3CDTF">2019-12-08T07:42:00Z</dcterms:modified>
</cp:coreProperties>
</file>