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F47A11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46F64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1A4B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7A1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A4B" w:rsidRPr="00FE53CD" w:rsidRDefault="008C1A4B" w:rsidP="008C1A4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bookmarkStart w:id="1" w:name="_GoBack"/>
      <w:r w:rsidRPr="008C1A4B">
        <w:rPr>
          <w:rFonts w:ascii="Times New Roman" w:hAnsi="Times New Roman" w:cs="Times New Roman"/>
          <w:sz w:val="24"/>
          <w:szCs w:val="28"/>
        </w:rPr>
        <w:t>Практикум</w:t>
      </w:r>
      <w:r w:rsidRPr="008C1A4B">
        <w:rPr>
          <w:rFonts w:ascii="Times New Roman" w:hAnsi="Times New Roman" w:cs="Times New Roman"/>
          <w:sz w:val="24"/>
        </w:rPr>
        <w:t xml:space="preserve"> по выразительному чтению</w:t>
      </w:r>
      <w:bookmarkEnd w:id="1"/>
      <w:r w:rsidRPr="00FE53CD">
        <w:rPr>
          <w:rFonts w:ascii="Times New Roman" w:hAnsi="Times New Roman" w:cs="Times New Roman"/>
          <w:sz w:val="24"/>
        </w:rPr>
        <w:t>»</w:t>
      </w:r>
    </w:p>
    <w:p w:rsidR="008C1A4B" w:rsidRPr="00FE53CD" w:rsidRDefault="008C1A4B" w:rsidP="008C1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C1A4B" w:rsidRPr="00FE53CD" w:rsidRDefault="008C1A4B" w:rsidP="008C1A4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8C1A4B" w:rsidRPr="00FE53CD" w:rsidRDefault="008C1A4B" w:rsidP="008C1A4B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8C1A4B" w:rsidRPr="00FE53CD" w:rsidRDefault="008C1A4B" w:rsidP="008C1A4B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8C1A4B" w:rsidRPr="00FE53CD" w:rsidRDefault="008C1A4B" w:rsidP="008C1A4B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8C1A4B" w:rsidRPr="00FE53CD" w:rsidRDefault="008C1A4B" w:rsidP="008C1A4B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8C1A4B" w:rsidRPr="00FE53CD" w:rsidRDefault="008C1A4B" w:rsidP="008C1A4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8C1A4B" w:rsidRPr="00FE53CD" w:rsidTr="00CA76CA">
        <w:tc>
          <w:tcPr>
            <w:tcW w:w="10148" w:type="dxa"/>
            <w:shd w:val="clear" w:color="auto" w:fill="auto"/>
          </w:tcPr>
          <w:p w:rsidR="008C1A4B" w:rsidRPr="00FE53CD" w:rsidRDefault="008C1A4B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1A4B" w:rsidRPr="00FE53CD" w:rsidRDefault="008C1A4B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8C1A4B" w:rsidRPr="00FE53CD" w:rsidRDefault="008C1A4B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8C1A4B" w:rsidRPr="00FE53CD" w:rsidRDefault="008C1A4B" w:rsidP="00CA76CA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8C1A4B" w:rsidRPr="00FE53CD" w:rsidRDefault="008C1A4B" w:rsidP="00CA76C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8C1A4B" w:rsidRPr="00FE53CD" w:rsidRDefault="008C1A4B" w:rsidP="00CA76C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C1A4B" w:rsidRDefault="008C1A4B" w:rsidP="008C1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A4B" w:rsidRDefault="008C1A4B" w:rsidP="008C1A4B"/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8C1A4B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8C1A4B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8C1A4B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8C1A4B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57A8"/>
    <w:rsid w:val="006373D8"/>
    <w:rsid w:val="006549AF"/>
    <w:rsid w:val="00681625"/>
    <w:rsid w:val="006F5C89"/>
    <w:rsid w:val="00714D69"/>
    <w:rsid w:val="00716C9E"/>
    <w:rsid w:val="007432B1"/>
    <w:rsid w:val="007501E2"/>
    <w:rsid w:val="00762307"/>
    <w:rsid w:val="007B7DF2"/>
    <w:rsid w:val="007D2E86"/>
    <w:rsid w:val="008139D7"/>
    <w:rsid w:val="00817E43"/>
    <w:rsid w:val="008211BE"/>
    <w:rsid w:val="00840548"/>
    <w:rsid w:val="00846F64"/>
    <w:rsid w:val="008736FC"/>
    <w:rsid w:val="008A43D4"/>
    <w:rsid w:val="008C0ECA"/>
    <w:rsid w:val="008C1A4B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47A11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29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34</cp:revision>
  <dcterms:created xsi:type="dcterms:W3CDTF">2016-11-14T16:56:00Z</dcterms:created>
  <dcterms:modified xsi:type="dcterms:W3CDTF">2022-03-16T06:11:00Z</dcterms:modified>
</cp:coreProperties>
</file>