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Очная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набора</w:t>
      </w:r>
      <w:r w:rsidR="004711FE" w:rsidRPr="00B33706">
        <w:rPr>
          <w:sz w:val="24"/>
          <w:szCs w:val="24"/>
        </w:rPr>
        <w:t xml:space="preserve"> 201</w:t>
      </w:r>
      <w:r w:rsidR="002052EA" w:rsidRPr="00B33706">
        <w:rPr>
          <w:sz w:val="24"/>
          <w:szCs w:val="24"/>
        </w:rPr>
        <w:t>6</w:t>
      </w:r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E80FCE" w:rsidRDefault="00E80FCE" w:rsidP="00E80FC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  <w:r w:rsidRPr="00E80FCE">
              <w:rPr>
                <w:b/>
              </w:rPr>
              <w:t>ПК-6</w:t>
            </w:r>
            <w:r w:rsidRPr="00121F30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80FCE" w:rsidRPr="0050582D" w:rsidRDefault="00E80FCE" w:rsidP="0032353C">
            <w:pPr>
              <w:pStyle w:val="Default"/>
            </w:pPr>
            <w:r>
              <w:rPr>
                <w:sz w:val="23"/>
                <w:szCs w:val="23"/>
              </w:rPr>
              <w:t xml:space="preserve">особенности зарождения и развития страхования, этапы развития страхового дела; сущность, функции и основные принципы страхования; </w:t>
            </w:r>
            <w:r w:rsidRPr="00D12FA1">
              <w:t>специфику страхования имущества юридических и физических лиц, страхования ответственности, личного страхования;</w:t>
            </w:r>
            <w:r>
              <w:rPr>
                <w:sz w:val="23"/>
                <w:szCs w:val="23"/>
              </w:rPr>
              <w:t xml:space="preserve"> современные тенденции развития отечественного и мирового страховых рынков</w:t>
            </w:r>
            <w:r w:rsidR="0032353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C51775" w:rsidRPr="00896A8F" w:rsidRDefault="00C51775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рубежного контроля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 w:rsidRPr="00565E6A">
              <w:rPr>
                <w:szCs w:val="24"/>
              </w:rPr>
              <w:t>анализировать страховой рынок России;</w:t>
            </w:r>
            <w:r>
              <w:rPr>
                <w:szCs w:val="24"/>
              </w:rPr>
              <w:t xml:space="preserve"> </w:t>
            </w:r>
            <w:r w:rsidRPr="00565E6A">
              <w:rPr>
                <w:szCs w:val="24"/>
              </w:rPr>
              <w:t>исследовать взаимосвязи страхового рынка России и мирового страхового хозяйства;</w:t>
            </w:r>
            <w:r>
              <w:rPr>
                <w:szCs w:val="24"/>
              </w:rPr>
              <w:t xml:space="preserve"> </w:t>
            </w:r>
            <w:r w:rsidRPr="00565E6A">
              <w:t xml:space="preserve"> анализировать условия страхования, предлагаемые страховыми организациями в целях определения оптимальной страховой защиты; </w:t>
            </w:r>
            <w:r w:rsidRPr="00565E6A">
              <w:rPr>
                <w:rFonts w:eastAsia="Times New Roman"/>
                <w:szCs w:val="24"/>
              </w:rPr>
              <w:t>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>ченные выводы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Pr="0050582D" w:rsidRDefault="002874ED" w:rsidP="002874ED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>
              <w:t xml:space="preserve">основами построения страховых тарифов и анализа финансовой устойчивости страховщиков; </w:t>
            </w:r>
            <w:r w:rsidRPr="001F7A5F"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 w:val="restart"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  <w:r w:rsidRPr="00E80FCE">
              <w:rPr>
                <w:b/>
              </w:rPr>
              <w:t>ПК-22</w:t>
            </w:r>
            <w:r w:rsidRPr="00121F30">
              <w:t xml:space="preserve"> способность применять нормы, регулирующие бюджетные, налоговые, валютные отношения в области страховой, банковской деятельности, учета и </w:t>
            </w:r>
            <w:r w:rsidRPr="00121F30">
              <w:lastRenderedPageBreak/>
              <w:t>контроля</w:t>
            </w:r>
          </w:p>
        </w:tc>
        <w:tc>
          <w:tcPr>
            <w:tcW w:w="4445" w:type="dxa"/>
            <w:shd w:val="clear" w:color="auto" w:fill="auto"/>
          </w:tcPr>
          <w:p w:rsidR="0032353C" w:rsidRDefault="0032353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2353C" w:rsidRDefault="0032353C" w:rsidP="0032353C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ведения учета, составления </w:t>
            </w:r>
            <w:r w:rsidRPr="00CB2020">
              <w:rPr>
                <w:szCs w:val="24"/>
              </w:rPr>
              <w:t xml:space="preserve"> </w:t>
            </w:r>
            <w:r w:rsidRPr="00B1440C">
              <w:rPr>
                <w:szCs w:val="24"/>
              </w:rPr>
              <w:t xml:space="preserve">финансовой отчетности </w:t>
            </w:r>
            <w:r>
              <w:rPr>
                <w:szCs w:val="24"/>
              </w:rPr>
              <w:t>и контроля в страховых организациях.</w:t>
            </w:r>
          </w:p>
          <w:p w:rsidR="0032353C" w:rsidRPr="0050582D" w:rsidRDefault="0032353C" w:rsidP="00E80FCE">
            <w:pPr>
              <w:pStyle w:val="ReportMain"/>
              <w:suppressAutoHyphens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2353C" w:rsidRPr="00896A8F" w:rsidRDefault="0032353C" w:rsidP="0032353C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32353C" w:rsidRPr="00896A8F" w:rsidRDefault="0032353C" w:rsidP="0032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32353C" w:rsidRDefault="0032353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2353C" w:rsidRPr="0050582D" w:rsidRDefault="0032353C" w:rsidP="0032353C">
            <w:pPr>
              <w:pStyle w:val="Default"/>
            </w:pPr>
            <w:r>
              <w:t xml:space="preserve">анализировать особенности организации страховой деятельности в области ведения учета, составления отчетности </w:t>
            </w:r>
            <w:r w:rsidRPr="00B1440C">
              <w:t xml:space="preserve"> </w:t>
            </w:r>
            <w:r>
              <w:t>и контроля страховых организаций,</w:t>
            </w:r>
            <w:r>
              <w:rPr>
                <w:sz w:val="23"/>
                <w:szCs w:val="23"/>
              </w:rPr>
              <w:t xml:space="preserve"> применять правила страхования, являющиеся неотъемл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мой частью </w:t>
            </w:r>
            <w:r>
              <w:rPr>
                <w:sz w:val="23"/>
                <w:szCs w:val="23"/>
              </w:rPr>
              <w:lastRenderedPageBreak/>
              <w:t>договора страхов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ния.</w:t>
            </w: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32353C" w:rsidP="0032353C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0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0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lastRenderedPageBreak/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420,48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В договоре страхования профессиональной ответственности нотариуса предусмотрена страховая сумма 200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C51775" w:rsidRDefault="00C51775" w:rsidP="00C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Задания для рубежного контроля</w:t>
      </w:r>
    </w:p>
    <w:p w:rsidR="00C51775" w:rsidRDefault="00C51775" w:rsidP="00C51775">
      <w:pPr>
        <w:rPr>
          <w:b/>
          <w:sz w:val="24"/>
          <w:szCs w:val="24"/>
        </w:rPr>
      </w:pPr>
    </w:p>
    <w:p w:rsidR="00C51775" w:rsidRDefault="00C51775" w:rsidP="00C51775">
      <w:pPr>
        <w:pStyle w:val="ReportMain"/>
        <w:suppressAutoHyphens/>
        <w:jc w:val="both"/>
      </w:pPr>
      <w:r w:rsidRPr="001113FD">
        <w:t>Примерные задания</w:t>
      </w:r>
      <w:r>
        <w:t xml:space="preserve"> для рубежного контроля: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1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Страхование финансовых рисков.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Облигаторное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 размер выплаты страхователю каждым страховщиком.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C51775">
        <w:rPr>
          <w:sz w:val="24"/>
          <w:szCs w:val="24"/>
        </w:rPr>
        <w:t xml:space="preserve"> А</w:t>
      </w:r>
      <w:proofErr w:type="gramEnd"/>
      <w:r w:rsidRPr="00C51775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Двойное страхование – это …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C51775">
        <w:rPr>
          <w:sz w:val="24"/>
          <w:szCs w:val="24"/>
        </w:rPr>
        <w:t>и</w:t>
      </w:r>
      <w:proofErr w:type="gramEnd"/>
      <w:r w:rsidRPr="00C51775">
        <w:rPr>
          <w:sz w:val="24"/>
          <w:szCs w:val="24"/>
        </w:rPr>
        <w:t xml:space="preserve"> одного и того же договора страхования;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перестрахование.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Суброгация в страховании – это: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право требования страхователя к страховщику по страховым выплатам;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переход к страховщику прав страхователя на возмещение ущерба;</w:t>
      </w:r>
    </w:p>
    <w:p w:rsidR="00C51775" w:rsidRPr="00C51775" w:rsidRDefault="00C51775" w:rsidP="00C51775">
      <w:pPr>
        <w:ind w:left="709"/>
        <w:rPr>
          <w:sz w:val="24"/>
          <w:szCs w:val="24"/>
        </w:rPr>
      </w:pPr>
      <w:r w:rsidRPr="00C51775">
        <w:rPr>
          <w:sz w:val="24"/>
          <w:szCs w:val="24"/>
        </w:rPr>
        <w:t>в) передача прав страхователю от страховщика на требование возмещения ущерба от виновного;</w:t>
      </w:r>
    </w:p>
    <w:p w:rsidR="00C51775" w:rsidRPr="00C51775" w:rsidRDefault="00C51775" w:rsidP="00C51775">
      <w:pPr>
        <w:ind w:firstLine="700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жизни с «доходностью» это: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C51775">
        <w:rPr>
          <w:sz w:val="24"/>
          <w:szCs w:val="24"/>
        </w:rPr>
        <w:t>ответственность</w:t>
      </w:r>
      <w:proofErr w:type="gramEnd"/>
      <w:r w:rsidRPr="00C51775">
        <w:rPr>
          <w:sz w:val="24"/>
          <w:szCs w:val="24"/>
        </w:rPr>
        <w:t xml:space="preserve"> указанную в договоре;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все ответы верны;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Цель личного страхования – это обеспечение страховой защиты: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личного имущества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б) личной ответственности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трудоспособности застрахованного лица;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предпринимательского риска.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Объекты личного страхования граждан: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не имеют стоимости;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 материальны;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имеют стоимость, выражаемую в денежных единицах;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материальны.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Факультативный метод перестрахования имеет положительные стороны:</w:t>
      </w:r>
    </w:p>
    <w:p w:rsidR="00C51775" w:rsidRPr="00C51775" w:rsidRDefault="00C51775" w:rsidP="00C51775">
      <w:pPr>
        <w:ind w:left="5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 дает возможность небольшой страховой организации принять риски, превышающие ее финансовые возможности;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 образуется задержка в размещении риска по времени;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в) дает возможность сохранить сбалансированный страховой портфель;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г) нет верного ответа.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2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- Страхование технических рисков. 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Факультативное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Стоимость застрахованного оборудования составляет 19700 руб., страховая сумма 15600руб., уще</w:t>
      </w:r>
      <w:proofErr w:type="gramStart"/>
      <w:r w:rsidRPr="00C51775">
        <w:rPr>
          <w:sz w:val="24"/>
          <w:szCs w:val="24"/>
        </w:rPr>
        <w:t>рб стр</w:t>
      </w:r>
      <w:proofErr w:type="gramEnd"/>
      <w:r w:rsidRPr="00C51775">
        <w:rPr>
          <w:sz w:val="24"/>
          <w:szCs w:val="24"/>
        </w:rPr>
        <w:t>ахователя при наступлении страхового случая 11750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</w:t>
      </w:r>
      <w:proofErr w:type="gramStart"/>
      <w:r w:rsidRPr="00C51775">
        <w:rPr>
          <w:sz w:val="24"/>
          <w:szCs w:val="24"/>
        </w:rPr>
        <w:t xml:space="preserve"> В</w:t>
      </w:r>
      <w:proofErr w:type="gramEnd"/>
      <w:r w:rsidRPr="00C51775">
        <w:rPr>
          <w:sz w:val="24"/>
          <w:szCs w:val="24"/>
        </w:rPr>
        <w:t xml:space="preserve">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Цедент – это …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перестраховщик, принимающий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перестрахователь, передающий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специалист, занимающийся приемом рисков в перестраховании;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актуарий.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Документ, составляемый страховщиком или уполномоченным лицом, подтверждающий факт и обстоятельства страхового случая и являющийся основанием для определения размеров ущерба и страховой выплаты: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Страховой взнос;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Страховой акт;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Регрессный 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полис.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C51775">
        <w:rPr>
          <w:sz w:val="24"/>
          <w:szCs w:val="24"/>
        </w:rPr>
        <w:t>на</w:t>
      </w:r>
      <w:proofErr w:type="gramEnd"/>
      <w:r w:rsidRPr="00C51775">
        <w:rPr>
          <w:sz w:val="24"/>
          <w:szCs w:val="24"/>
        </w:rPr>
        <w:t>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транспортные расходы;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убытки, взносы, жертвы общей аварии;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расходы, не указанные в договоре страхования;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все ответы верны.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Эксцедентная франшиза - это: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франшиза, рассчитанная на основе эксцедента;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невычитаемая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интегральная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вычитаемая франшиза.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Личное страхование делится на три подотрасли: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страхование жизни;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социальное страхование;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от несчастных случаев;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г) страхование внешнеэкономической деятельности.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Лицо, в пользу которого заключен договор личного страхования: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страховщик;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страхователь;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застрахованный;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выгодоприобретатель.</w:t>
      </w: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Платежеспособность 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Предполагаемое событие, обладающее признаками вероятности и случайности наступления, возможный ущерб от которого 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Нормативный правовой акт, обладающий высшей юридической силой (принят на всенародном голосовании 12 декабря 1993 г.)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lastRenderedPageBreak/>
        <w:t>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lastRenderedPageBreak/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</w:t>
      </w:r>
      <w:r w:rsidRPr="001428F9">
        <w:rPr>
          <w:sz w:val="24"/>
          <w:szCs w:val="24"/>
        </w:rPr>
        <w:lastRenderedPageBreak/>
        <w:t>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добровольного страхования от несчастного случая.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Обзор законодательной базы ОСАГО.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Этапы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</w:t>
      </w:r>
      <w:bookmarkStart w:id="1" w:name="_GoBack"/>
      <w:bookmarkEnd w:id="1"/>
      <w:r w:rsidRPr="001428F9">
        <w:rPr>
          <w:sz w:val="24"/>
          <w:szCs w:val="24"/>
        </w:rPr>
        <w:t>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</w:t>
            </w:r>
            <w:r w:rsidRPr="00E218CA">
              <w:rPr>
                <w:rStyle w:val="34"/>
                <w:sz w:val="24"/>
                <w:szCs w:val="24"/>
                <w:u w:val="none"/>
              </w:rPr>
              <w:t>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lastRenderedPageBreak/>
              <w:t>Хорошо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Pr="001428F9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lastRenderedPageBreak/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9D5162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" w:name="__RefHeading___Toc511240057"/>
            <w:bookmarkEnd w:id="2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</w:t>
      </w:r>
      <w:proofErr w:type="gramEnd"/>
      <w:r w:rsidRPr="005B1995">
        <w:rPr>
          <w:sz w:val="24"/>
          <w:szCs w:val="24"/>
        </w:rPr>
        <w:t>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5B1995" w:rsidRPr="005B1995" w:rsidRDefault="005B1995" w:rsidP="005B1995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 w:rsidR="003E3154"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lastRenderedPageBreak/>
        <w:t>На основе тем, составленных преподавателем, группе студентов предлагается выполнить на выбор: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3E3154">
        <w:rPr>
          <w:color w:val="000000"/>
          <w:sz w:val="24"/>
          <w:szCs w:val="24"/>
        </w:rPr>
        <w:t>Объем – не менее 10 слайдов.   1-й слайд</w:t>
      </w:r>
      <w:r>
        <w:rPr>
          <w:color w:val="000000"/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– тема, ФИО студента, год составления.  2-й слайд – Содержание.  3-4-й – Введение: кратко - актуальность, цели,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3E3154">
        <w:rPr>
          <w:color w:val="000000"/>
          <w:sz w:val="24"/>
          <w:szCs w:val="24"/>
        </w:rPr>
        <w:t xml:space="preserve">  </w:t>
      </w:r>
      <w:proofErr w:type="gramStart"/>
      <w:r w:rsidRPr="003E3154">
        <w:rPr>
          <w:color w:val="000000"/>
          <w:sz w:val="24"/>
          <w:szCs w:val="24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3E3154">
        <w:rPr>
          <w:color w:val="000000"/>
          <w:sz w:val="24"/>
          <w:szCs w:val="24"/>
        </w:rPr>
        <w:t xml:space="preserve">   Заключение: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3E3154">
        <w:rPr>
          <w:color w:val="000000"/>
          <w:sz w:val="24"/>
          <w:szCs w:val="24"/>
        </w:rPr>
        <w:t xml:space="preserve"> Б</w:t>
      </w:r>
      <w:proofErr w:type="gramEnd"/>
      <w:r w:rsidRPr="003E3154">
        <w:rPr>
          <w:color w:val="000000"/>
          <w:sz w:val="24"/>
          <w:szCs w:val="24"/>
        </w:rPr>
        <w:t xml:space="preserve">лагодарим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применять эффекты анимации. 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Проект в виде научного доклада: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sz w:val="24"/>
          <w:szCs w:val="24"/>
        </w:rPr>
      </w:pPr>
      <w:r w:rsidRPr="003E3154">
        <w:rPr>
          <w:sz w:val="24"/>
          <w:szCs w:val="24"/>
        </w:rPr>
        <w:t>Положения доклада должны быть конкретными, отражать сущность тематики, основываться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преподавателем, выполнивший его студент допускается к докладу по данной теме на аудиторном занятии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предъявленными требованиями, возвращается на доработку</w:t>
      </w:r>
      <w:r>
        <w:rPr>
          <w:sz w:val="24"/>
          <w:szCs w:val="24"/>
        </w:rPr>
        <w:t xml:space="preserve">.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32353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83" w:rsidRDefault="001B4D83" w:rsidP="00EF794E">
      <w:r>
        <w:separator/>
      </w:r>
    </w:p>
  </w:endnote>
  <w:endnote w:type="continuationSeparator" w:id="0">
    <w:p w:rsidR="001B4D83" w:rsidRDefault="001B4D83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3C" w:rsidRDefault="0032353C">
    <w:pPr>
      <w:pStyle w:val="a9"/>
      <w:jc w:val="center"/>
    </w:pPr>
  </w:p>
  <w:p w:rsidR="0032353C" w:rsidRDefault="003235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83" w:rsidRDefault="001B4D83" w:rsidP="00EF794E">
      <w:r>
        <w:separator/>
      </w:r>
    </w:p>
  </w:footnote>
  <w:footnote w:type="continuationSeparator" w:id="0">
    <w:p w:rsidR="001B4D83" w:rsidRDefault="001B4D83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6"/>
  </w:num>
  <w:num w:numId="5">
    <w:abstractNumId w:val="10"/>
  </w:num>
  <w:num w:numId="6">
    <w:abstractNumId w:val="25"/>
  </w:num>
  <w:num w:numId="7">
    <w:abstractNumId w:val="17"/>
  </w:num>
  <w:num w:numId="8">
    <w:abstractNumId w:val="24"/>
  </w:num>
  <w:num w:numId="9">
    <w:abstractNumId w:val="20"/>
  </w:num>
  <w:num w:numId="10">
    <w:abstractNumId w:val="27"/>
  </w:num>
  <w:num w:numId="11">
    <w:abstractNumId w:val="14"/>
  </w:num>
  <w:num w:numId="12">
    <w:abstractNumId w:val="21"/>
  </w:num>
  <w:num w:numId="13">
    <w:abstractNumId w:val="11"/>
  </w:num>
  <w:num w:numId="14">
    <w:abstractNumId w:val="22"/>
  </w:num>
  <w:num w:numId="15">
    <w:abstractNumId w:val="16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3"/>
  </w:num>
  <w:num w:numId="21">
    <w:abstractNumId w:val="23"/>
  </w:num>
  <w:num w:numId="22">
    <w:abstractNumId w:val="1"/>
  </w:num>
  <w:num w:numId="23">
    <w:abstractNumId w:val="26"/>
  </w:num>
  <w:num w:numId="24">
    <w:abstractNumId w:val="5"/>
  </w:num>
  <w:num w:numId="25">
    <w:abstractNumId w:val="2"/>
  </w:num>
  <w:num w:numId="26">
    <w:abstractNumId w:val="4"/>
  </w:num>
  <w:num w:numId="27">
    <w:abstractNumId w:val="15"/>
  </w:num>
  <w:num w:numId="28">
    <w:abstractNumId w:val="0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C45DF"/>
    <w:rsid w:val="001074C2"/>
    <w:rsid w:val="00110136"/>
    <w:rsid w:val="00111792"/>
    <w:rsid w:val="0011467F"/>
    <w:rsid w:val="00141071"/>
    <w:rsid w:val="00141580"/>
    <w:rsid w:val="001428F9"/>
    <w:rsid w:val="001A2418"/>
    <w:rsid w:val="001A72F6"/>
    <w:rsid w:val="001B4D83"/>
    <w:rsid w:val="001C485C"/>
    <w:rsid w:val="001D7EC7"/>
    <w:rsid w:val="001E66C5"/>
    <w:rsid w:val="001F1583"/>
    <w:rsid w:val="00202701"/>
    <w:rsid w:val="002052EA"/>
    <w:rsid w:val="00256CF0"/>
    <w:rsid w:val="002874ED"/>
    <w:rsid w:val="002F368F"/>
    <w:rsid w:val="00304371"/>
    <w:rsid w:val="003110DA"/>
    <w:rsid w:val="00322900"/>
    <w:rsid w:val="0032353C"/>
    <w:rsid w:val="003626F7"/>
    <w:rsid w:val="00382DEE"/>
    <w:rsid w:val="003E3154"/>
    <w:rsid w:val="003F4CAA"/>
    <w:rsid w:val="004711FE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A0CA5"/>
    <w:rsid w:val="005B1995"/>
    <w:rsid w:val="005D227E"/>
    <w:rsid w:val="00615D55"/>
    <w:rsid w:val="006206A1"/>
    <w:rsid w:val="006519F7"/>
    <w:rsid w:val="006660C3"/>
    <w:rsid w:val="00667627"/>
    <w:rsid w:val="0067177A"/>
    <w:rsid w:val="006858BF"/>
    <w:rsid w:val="006F7CB4"/>
    <w:rsid w:val="00700E42"/>
    <w:rsid w:val="007237C1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57142"/>
    <w:rsid w:val="009865BC"/>
    <w:rsid w:val="009962DA"/>
    <w:rsid w:val="009B76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82B7A"/>
    <w:rsid w:val="00BD72E8"/>
    <w:rsid w:val="00C1289B"/>
    <w:rsid w:val="00C24DED"/>
    <w:rsid w:val="00C374FA"/>
    <w:rsid w:val="00C51775"/>
    <w:rsid w:val="00C56BF5"/>
    <w:rsid w:val="00CA3498"/>
    <w:rsid w:val="00CB549C"/>
    <w:rsid w:val="00D0223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109CD"/>
    <w:rsid w:val="00F13A76"/>
    <w:rsid w:val="00F67033"/>
    <w:rsid w:val="00F67C58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C6EF-4706-4D8B-BBE9-A76DDFED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39</Pages>
  <Words>14845</Words>
  <Characters>84622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2019-10-24T04:03:00Z</cp:lastPrinted>
  <dcterms:created xsi:type="dcterms:W3CDTF">2019-11-05T10:49:00Z</dcterms:created>
  <dcterms:modified xsi:type="dcterms:W3CDTF">2019-12-02T06:37:00Z</dcterms:modified>
</cp:coreProperties>
</file>