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«Б.1.В.ДВ.5</w:t>
      </w:r>
      <w:r w:rsidR="00621A84">
        <w:rPr>
          <w:i/>
          <w:sz w:val="24"/>
        </w:rPr>
        <w:t>.1</w:t>
      </w:r>
      <w:r w:rsidR="00093DEC">
        <w:rPr>
          <w:i/>
          <w:sz w:val="24"/>
        </w:rPr>
        <w:t xml:space="preserve"> «</w:t>
      </w:r>
      <w:r w:rsidR="00D1670C">
        <w:rPr>
          <w:i/>
          <w:sz w:val="24"/>
        </w:rPr>
        <w:t>Научно- исследовательская работа студента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4C2F5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93DE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9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093DEC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1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работа студента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1670C">
        <w:rPr>
          <w:rFonts w:ascii="Times New Roman" w:eastAsia="Times New Roman" w:hAnsi="Times New Roman"/>
          <w:sz w:val="28"/>
          <w:szCs w:val="28"/>
        </w:rPr>
        <w:t>Научно- иссл</w:t>
      </w:r>
      <w:r w:rsidR="00D1670C">
        <w:rPr>
          <w:rFonts w:ascii="Times New Roman" w:eastAsia="Times New Roman" w:hAnsi="Times New Roman"/>
          <w:sz w:val="28"/>
          <w:szCs w:val="28"/>
        </w:rPr>
        <w:t>е</w:t>
      </w:r>
      <w:r w:rsidR="00D1670C">
        <w:rPr>
          <w:rFonts w:ascii="Times New Roman" w:eastAsia="Times New Roman" w:hAnsi="Times New Roman"/>
          <w:sz w:val="28"/>
          <w:szCs w:val="28"/>
        </w:rPr>
        <w:t>довательская работа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093DE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9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</w:t>
      </w:r>
      <w:proofErr w:type="gramStart"/>
      <w:r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необходимое условие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BB59E2">
        <w:rPr>
          <w:sz w:val="28"/>
          <w:szCs w:val="28"/>
        </w:rPr>
        <w:t>роектное обучение в группе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теоретич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действительности с помощью мысли, адекватного применения навыков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«Исследовательская деятельность в д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D20035" w:rsidRDefault="00D20035" w:rsidP="00D2003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C7B14" w:rsidRDefault="001C7B14" w:rsidP="001C7B1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C7B14" w:rsidRDefault="001C7B14" w:rsidP="001C7B14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6610"/>
        <w:gridCol w:w="2847"/>
      </w:tblGrid>
      <w:tr w:rsidR="001C7B14" w:rsidTr="001C7B14">
        <w:trPr>
          <w:trHeight w:val="614"/>
          <w:tblHeader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1C7B14" w:rsidTr="001C7B14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 </w:t>
            </w:r>
            <w:r>
              <w:rPr>
                <w:rFonts w:eastAsia="Times New Roman"/>
                <w:sz w:val="23"/>
                <w:szCs w:val="23"/>
              </w:rPr>
              <w:t xml:space="preserve"> основные требования и методические обоснования проектирования траектории профессионального роста и личностного развития посредством решения исследовательских задач; категории, термины организации и проведения исследовательской деятельности в области образования; методические основы эффективного решения профессиональных задач посредством использования теоретических и практических знаний</w:t>
            </w:r>
            <w:r>
              <w:rPr>
                <w:rFonts w:eastAsia="Times New Roman"/>
              </w:rPr>
              <w:t xml:space="preserve"> для постановки и решения исследовательских задач в области образования</w:t>
            </w:r>
            <w:r>
              <w:rPr>
                <w:rFonts w:eastAsia="Times New Roman"/>
                <w:sz w:val="23"/>
                <w:szCs w:val="23"/>
              </w:rPr>
              <w:t xml:space="preserve">. </w:t>
            </w:r>
          </w:p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</w:rPr>
              <w:t>использовать теоретические знания в конкретной практико-ориентированной деятельности; анализировать научную и методическую литературу в контексте совершенствования своего профессионального роста и личностного развития посредством решения исследовательских задач в области образования; проектировать пути профессионального роста и личностного развития;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применять систематизированные научные знания в организации и реализации образовательного и воспитательного процесса.</w:t>
            </w:r>
          </w:p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</w:rPr>
              <w:t xml:space="preserve">навыками практической реализации результатов проектирования своего профессионального роста и </w:t>
            </w:r>
            <w:r>
              <w:rPr>
                <w:rFonts w:eastAsia="Times New Roman"/>
              </w:rPr>
              <w:lastRenderedPageBreak/>
              <w:t xml:space="preserve">личностного развития посредством использования систематизированных теоретических и практических знаний для постановки и решения исследовательских задач в области образования, использования данных результатов в условиях конкретной научно-методической и педагогической деятельности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</w:tr>
      <w:tr w:rsidR="001C7B14" w:rsidTr="001C7B14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Знать: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основы и требования организации познавательной и исследовательской деятельности детей школьного возраста; особенности творческой и познавательной деятельности обучающихся. </w:t>
            </w:r>
          </w:p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  <w:sz w:val="23"/>
                <w:szCs w:val="23"/>
              </w:rPr>
              <w:t xml:space="preserve">использовать образовательные и методические возможности в организации творческой и познавательной деятельности детей школьного возраста; соотносить программы и практические задания исследовательского характера с возрастными психологическими особенностями обучающихся. </w:t>
            </w:r>
          </w:p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практическими навыками выстраивания исследовательской и познавательной деятельности детей школьного возраста; знаниями о возрастных, психологических особенностях субъектов образовательной деятельности участников образовательного процесса.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ПК-12 способность руководить учебно-исследовательской деятельностью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</w:tbl>
    <w:p w:rsidR="001C7B14" w:rsidRDefault="001C7B14" w:rsidP="001C7B14">
      <w:pPr>
        <w:pStyle w:val="ReportMain"/>
        <w:suppressAutoHyphens/>
        <w:ind w:firstLine="709"/>
        <w:jc w:val="both"/>
        <w:rPr>
          <w:szCs w:val="20"/>
          <w:lang/>
        </w:rPr>
      </w:pPr>
    </w:p>
    <w:p w:rsidR="001C7B14" w:rsidRDefault="001C7B14" w:rsidP="001C7B1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1C7B14" w:rsidRDefault="001C7B14" w:rsidP="001C7B1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C7B14" w:rsidRDefault="001C7B14" w:rsidP="001C7B14">
      <w:pPr>
        <w:pStyle w:val="ReportMain"/>
        <w:suppressAutoHyphens/>
        <w:ind w:firstLine="709"/>
        <w:jc w:val="both"/>
      </w:pPr>
      <w:r>
        <w:t>Общая трудоемкость дисциплины составляет 4 зачетных единиц (144 академических часов).</w:t>
      </w:r>
    </w:p>
    <w:p w:rsidR="001C7B14" w:rsidRDefault="001C7B14" w:rsidP="001C7B14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6889"/>
        <w:gridCol w:w="1284"/>
        <w:gridCol w:w="1284"/>
      </w:tblGrid>
      <w:tr w:rsidR="001C7B14" w:rsidTr="001C7B14">
        <w:trPr>
          <w:tblHeader/>
        </w:trPr>
        <w:tc>
          <w:tcPr>
            <w:tcW w:w="3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1C7B14" w:rsidTr="001C7B1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131,5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131,5</w:t>
            </w:r>
          </w:p>
        </w:tc>
      </w:tr>
      <w:tr w:rsidR="001C7B14" w:rsidTr="001C7B14">
        <w:tc>
          <w:tcPr>
            <w:tcW w:w="3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C7B14" w:rsidTr="001C7B14">
        <w:tc>
          <w:tcPr>
            <w:tcW w:w="3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 самостоятельное изучение разделов;</w:t>
            </w:r>
          </w:p>
          <w:p w:rsidR="001C7B14" w:rsidRDefault="001C7B1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C7B14" w:rsidRDefault="001C7B1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1C7B14" w:rsidRDefault="001C7B14" w:rsidP="001C7B14">
      <w:pPr>
        <w:pStyle w:val="ReportMain"/>
        <w:suppressAutoHyphens/>
        <w:ind w:firstLine="709"/>
        <w:jc w:val="both"/>
        <w:rPr>
          <w:szCs w:val="20"/>
          <w:lang/>
        </w:rPr>
      </w:pPr>
    </w:p>
    <w:p w:rsidR="001C7B14" w:rsidRDefault="001C7B14" w:rsidP="001C7B14">
      <w:pPr>
        <w:pStyle w:val="ReportMain"/>
        <w:keepNext/>
        <w:suppressAutoHyphens/>
        <w:ind w:firstLine="709"/>
        <w:jc w:val="both"/>
      </w:pPr>
      <w:r>
        <w:t>Разделы дисциплины, изучаемые в 10 семестре</w:t>
      </w:r>
    </w:p>
    <w:p w:rsidR="001C7B14" w:rsidRDefault="001C7B14" w:rsidP="001C7B14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1056"/>
        <w:gridCol w:w="4705"/>
        <w:gridCol w:w="1055"/>
        <w:gridCol w:w="528"/>
        <w:gridCol w:w="528"/>
        <w:gridCol w:w="530"/>
        <w:gridCol w:w="1055"/>
      </w:tblGrid>
      <w:tr w:rsidR="001C7B14" w:rsidTr="001C7B14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</w:rPr>
              <w:lastRenderedPageBreak/>
              <w:t>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1C7B14" w:rsidTr="001C7B1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1C7B14" w:rsidTr="001C7B1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4"/>
      <w:bookmarkEnd w:id="7"/>
      <w:tr w:rsidR="001C7B14" w:rsidTr="001C7B1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Понятие научно – исследовательской де</w:t>
            </w:r>
            <w:r>
              <w:rPr>
                <w:rFonts w:eastAsia="Times New Roman"/>
                <w:sz w:val="23"/>
                <w:szCs w:val="23"/>
              </w:rPr>
              <w:t>я</w:t>
            </w:r>
            <w:r>
              <w:rPr>
                <w:rFonts w:eastAsia="Times New Roman"/>
                <w:sz w:val="23"/>
                <w:szCs w:val="23"/>
              </w:rPr>
              <w:t>тельности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1C7B14" w:rsidTr="001C7B1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Методология и методы научно-исследовательской деятельности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1C7B14" w:rsidTr="001C7B1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Организация  и оформление научно-исследовательской работы студента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1C7B14" w:rsidTr="001C7B1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</w:t>
            </w:r>
          </w:p>
        </w:tc>
      </w:tr>
      <w:tr w:rsidR="001C7B14" w:rsidTr="001C7B1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</w:t>
            </w:r>
          </w:p>
        </w:tc>
      </w:tr>
    </w:tbl>
    <w:p w:rsidR="001C7B14" w:rsidRDefault="001C7B14" w:rsidP="00D2003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</w:p>
    <w:p w:rsidR="00301944" w:rsidRDefault="00301944" w:rsidP="00D20035">
      <w:pPr>
        <w:pStyle w:val="ReportMain"/>
        <w:suppressAutoHyphens/>
        <w:ind w:firstLine="709"/>
        <w:jc w:val="both"/>
      </w:pP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B93A08" w:rsidRPr="00301944" w:rsidRDefault="007A1B95" w:rsidP="00301944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>
        <w:rPr>
          <w:color w:val="000000"/>
          <w:sz w:val="28"/>
          <w:szCs w:val="28"/>
        </w:rPr>
        <w:t xml:space="preserve"> в проектной и исследовательской деятельности</w:t>
      </w: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>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54770C" w:rsidRDefault="0054770C" w:rsidP="0054770C">
      <w:pPr>
        <w:pStyle w:val="ReportMain"/>
        <w:keepNext/>
        <w:suppressAutoHyphens/>
        <w:spacing w:before="360" w:after="360"/>
        <w:outlineLvl w:val="1"/>
        <w:rPr>
          <w:b/>
        </w:rPr>
      </w:pPr>
      <w:r>
        <w:rPr>
          <w:b/>
        </w:rPr>
        <w:t>4.3 Практические заняти</w:t>
      </w:r>
      <w:proofErr w:type="gramStart"/>
      <w:r>
        <w:rPr>
          <w:b/>
        </w:rPr>
        <w:t>я(</w:t>
      </w:r>
      <w:proofErr w:type="gramEnd"/>
      <w:r>
        <w:rPr>
          <w:b/>
        </w:rPr>
        <w:t>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4770C" w:rsidTr="0054770C">
        <w:trPr>
          <w:trHeight w:val="740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 xml:space="preserve"> </w:t>
            </w:r>
            <w:r>
              <w:rPr>
                <w:spacing w:val="-3"/>
                <w:szCs w:val="28"/>
              </w:rPr>
              <w:t>Специфика научного исследования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rPr>
                <w:color w:val="000000"/>
                <w:szCs w:val="28"/>
              </w:rPr>
              <w:t>Общенаучные методы и приемы исследования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 xml:space="preserve"> </w:t>
            </w:r>
            <w:r>
              <w:rPr>
                <w:color w:val="000000"/>
                <w:szCs w:val="24"/>
              </w:rPr>
              <w:t>Порядок  оформления  результатов НИР.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C" w:rsidRDefault="0054770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C" w:rsidRDefault="0054770C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</w:tbl>
    <w:p w:rsidR="0054770C" w:rsidRDefault="0054770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C64E3" w:rsidRDefault="00AC64E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F3D43" w:rsidRDefault="00FF3D43" w:rsidP="00AC64E3">
      <w:pPr>
        <w:pStyle w:val="Default"/>
        <w:spacing w:line="276" w:lineRule="auto"/>
        <w:jc w:val="both"/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занятие№1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54770C">
        <w:rPr>
          <w:spacing w:val="-3"/>
          <w:szCs w:val="28"/>
        </w:rPr>
        <w:t>Специфика научного исследования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AC64E3">
        <w:t>ктеристикам оформления этапов проектной деятельност</w:t>
      </w:r>
      <w:proofErr w:type="gramStart"/>
      <w:r w:rsidR="00AC64E3">
        <w:t>и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</w:t>
      </w:r>
      <w:r w:rsidR="00481AA9">
        <w:t>т</w:t>
      </w:r>
      <w:r w:rsidR="00481AA9">
        <w:t>кое обсуждение данных положений</w:t>
      </w:r>
    </w:p>
    <w:p w:rsidR="002A4342" w:rsidRPr="0054770C" w:rsidRDefault="00481AA9" w:rsidP="0054770C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занятие№2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4770C">
        <w:rPr>
          <w:szCs w:val="28"/>
        </w:rPr>
        <w:t>Общенаучные методы и приемы исследования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54770C" w:rsidRDefault="0054770C" w:rsidP="002A4342">
      <w:pPr>
        <w:pStyle w:val="ReportMain"/>
        <w:keepNext/>
        <w:suppressAutoHyphens/>
        <w:jc w:val="both"/>
        <w:outlineLvl w:val="1"/>
      </w:pPr>
    </w:p>
    <w:p w:rsidR="0054770C" w:rsidRDefault="0054770C" w:rsidP="002A4342">
      <w:pPr>
        <w:pStyle w:val="ReportMain"/>
        <w:keepNext/>
        <w:suppressAutoHyphens/>
        <w:jc w:val="both"/>
        <w:outlineLvl w:val="1"/>
      </w:pPr>
      <w:r>
        <w:t>Практическое занятие №3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  <w:r>
        <w:t>Тема:</w:t>
      </w:r>
      <w:r>
        <w:rPr>
          <w:color w:val="000000"/>
          <w:szCs w:val="28"/>
        </w:rPr>
        <w:t xml:space="preserve"> </w:t>
      </w:r>
      <w:r>
        <w:rPr>
          <w:color w:val="000000"/>
          <w:szCs w:val="24"/>
        </w:rPr>
        <w:t>Порядок  оформления  результатов НИР.</w:t>
      </w:r>
    </w:p>
    <w:p w:rsidR="00C24EC4" w:rsidRDefault="00C24EC4" w:rsidP="00C24E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 оформления  результатов НИР. Требования к осуществлению апробации результатов  Оформление  результатов НИР. Аргументация и анализ результатов НИР.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рядок и критерии оформления обобщающих результатов  исследовательской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и их профессионально-практического использования</w:t>
      </w:r>
      <w:r>
        <w:rPr>
          <w:sz w:val="24"/>
          <w:szCs w:val="24"/>
        </w:rPr>
        <w:t xml:space="preserve"> </w:t>
      </w:r>
    </w:p>
    <w:p w:rsidR="00C24EC4" w:rsidRDefault="00C24EC4" w:rsidP="00C24EC4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оформления этапов проектной деятельност</w:t>
      </w:r>
      <w:proofErr w:type="gramStart"/>
      <w:r>
        <w:t>и(</w:t>
      </w:r>
      <w:proofErr w:type="gramEnd"/>
      <w:r>
        <w:t xml:space="preserve"> индивидуальные задания), групповая работа по конспектированию основных положений содержания презентаций и сообщений, кра</w:t>
      </w:r>
      <w:r>
        <w:t>т</w:t>
      </w:r>
      <w:r>
        <w:t>кое обсуждение данных положений</w:t>
      </w:r>
    </w:p>
    <w:p w:rsidR="00C24EC4" w:rsidRPr="0054770C" w:rsidRDefault="00C24EC4" w:rsidP="00C24EC4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проверка), активность и содержательность собеседования, вед</w:t>
      </w:r>
      <w:r>
        <w:t>е</w:t>
      </w:r>
      <w:r>
        <w:t xml:space="preserve">ния диалога между </w:t>
      </w:r>
      <w:proofErr w:type="gramStart"/>
      <w:r>
        <w:t>обучаемым</w:t>
      </w:r>
      <w:proofErr w:type="gramEnd"/>
      <w:r>
        <w:t xml:space="preserve"> и обучающемся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</w:p>
    <w:p w:rsidR="00907160" w:rsidRDefault="00907160" w:rsidP="0054770C">
      <w:pPr>
        <w:pStyle w:val="ReportMain"/>
        <w:keepNext/>
        <w:suppressAutoHyphens/>
        <w:jc w:val="both"/>
        <w:outlineLvl w:val="1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2A" w:rsidRDefault="0057632A" w:rsidP="00817BE6">
      <w:pPr>
        <w:spacing w:after="0" w:line="240" w:lineRule="auto"/>
      </w:pPr>
      <w:r>
        <w:separator/>
      </w:r>
    </w:p>
  </w:endnote>
  <w:endnote w:type="continuationSeparator" w:id="0">
    <w:p w:rsidR="0057632A" w:rsidRDefault="0057632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7632A" w:rsidRDefault="000918AE">
        <w:pPr>
          <w:pStyle w:val="a7"/>
          <w:jc w:val="center"/>
        </w:pPr>
        <w:fldSimple w:instr="PAGE   \* MERGEFORMAT">
          <w:r w:rsidR="001C7B14">
            <w:rPr>
              <w:noProof/>
            </w:rPr>
            <w:t>6</w:t>
          </w:r>
        </w:fldSimple>
      </w:p>
    </w:sdtContent>
  </w:sdt>
  <w:p w:rsidR="0057632A" w:rsidRDefault="005763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2A" w:rsidRDefault="0057632A" w:rsidP="00817BE6">
      <w:pPr>
        <w:spacing w:after="0" w:line="240" w:lineRule="auto"/>
      </w:pPr>
      <w:r>
        <w:separator/>
      </w:r>
    </w:p>
  </w:footnote>
  <w:footnote w:type="continuationSeparator" w:id="0">
    <w:p w:rsidR="0057632A" w:rsidRDefault="0057632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18AE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C7B14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4917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1670C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76830"/>
    <w:rsid w:val="00E847AC"/>
    <w:rsid w:val="00E84A4D"/>
    <w:rsid w:val="00E85676"/>
    <w:rsid w:val="00EC45E6"/>
    <w:rsid w:val="00EC4D7E"/>
    <w:rsid w:val="00EF0B65"/>
    <w:rsid w:val="00F023A0"/>
    <w:rsid w:val="00F14392"/>
    <w:rsid w:val="00F1559F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6483-FB8E-454F-9C9C-74B7DD66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26</Pages>
  <Words>7586</Words>
  <Characters>43243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91</cp:revision>
  <dcterms:created xsi:type="dcterms:W3CDTF">2016-10-09T16:26:00Z</dcterms:created>
  <dcterms:modified xsi:type="dcterms:W3CDTF">2019-11-02T06:09:00Z</dcterms:modified>
</cp:coreProperties>
</file>