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Кафедра гражданского права и процесса</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724570" w:rsidP="000F4359">
      <w:pPr>
        <w:pStyle w:val="ReportHead"/>
        <w:suppressAutoHyphens/>
        <w:rPr>
          <w:i/>
          <w:sz w:val="24"/>
          <w:u w:val="single"/>
        </w:rPr>
      </w:pPr>
      <w:r>
        <w:rPr>
          <w:i/>
          <w:sz w:val="24"/>
          <w:u w:val="single"/>
        </w:rPr>
        <w:t>Зао</w:t>
      </w:r>
      <w:r w:rsidR="000F4359">
        <w:rPr>
          <w:i/>
          <w:sz w:val="24"/>
          <w:u w:val="single"/>
        </w:rPr>
        <w:t>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sectPr w:rsidR="000F4359" w:rsidSect="00E17D50">
          <w:pgSz w:w="11906" w:h="16838"/>
          <w:pgMar w:top="510" w:right="567" w:bottom="510" w:left="850" w:header="0" w:footer="510" w:gutter="0"/>
          <w:cols w:space="708"/>
          <w:docGrid w:linePitch="360"/>
        </w:sectPr>
      </w:pPr>
      <w:r>
        <w:rPr>
          <w:sz w:val="24"/>
        </w:rPr>
        <w:t>Год набора 2016</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D870CD">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2016.</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«___»______________2016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00724570">
        <w:rPr>
          <w:rFonts w:ascii="Times New Roman" w:eastAsia="Calibri" w:hAnsi="Times New Roman" w:cs="Times New Roman"/>
          <w:sz w:val="24"/>
          <w:szCs w:val="24"/>
          <w:lang w:eastAsia="en-US"/>
        </w:rPr>
        <w:t>за</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724570">
      <w:pPr>
        <w:tabs>
          <w:tab w:val="left" w:pos="4020"/>
        </w:tabs>
        <w:spacing w:after="0" w:line="240" w:lineRule="auto"/>
        <w:ind w:left="-567" w:firstLine="709"/>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proofErr w:type="gramStart"/>
      <w:r w:rsidRPr="00905DF7">
        <w:rPr>
          <w:rFonts w:ascii="Times New Roman" w:eastAsiaTheme="minorHAnsi" w:hAnsi="Times New Roman"/>
          <w:sz w:val="28"/>
          <w:szCs w:val="28"/>
        </w:rPr>
        <w:t>…….</w:t>
      </w:r>
      <w:proofErr w:type="gramEnd"/>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 xml:space="preserve">Методические рекомендации по </w:t>
      </w:r>
      <w:r w:rsidR="00724570">
        <w:rPr>
          <w:rFonts w:ascii="Times New Roman" w:hAnsi="Times New Roman" w:cs="Times New Roman"/>
          <w:sz w:val="28"/>
          <w:szCs w:val="28"/>
        </w:rPr>
        <w:t>выполнению контрольной работы</w:t>
      </w:r>
      <w:proofErr w:type="gramStart"/>
      <w:r w:rsidR="00724570">
        <w:rPr>
          <w:rFonts w:ascii="Times New Roman" w:hAnsi="Times New Roman" w:cs="Times New Roman"/>
          <w:sz w:val="28"/>
          <w:szCs w:val="28"/>
        </w:rPr>
        <w:t>…….</w:t>
      </w:r>
      <w:proofErr w:type="gramEnd"/>
      <w:r w:rsidR="00724570">
        <w:rPr>
          <w:rFonts w:ascii="Times New Roman" w:hAnsi="Times New Roman" w:cs="Times New Roman"/>
          <w:sz w:val="28"/>
          <w:szCs w:val="28"/>
        </w:rPr>
        <w:t>.</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proofErr w:type="gramStart"/>
      <w:r>
        <w:rPr>
          <w:rFonts w:ascii="Times New Roman" w:hAnsi="Times New Roman" w:cs="Times New Roman"/>
          <w:sz w:val="28"/>
          <w:szCs w:val="28"/>
        </w:rPr>
        <w:t>……</w:t>
      </w:r>
      <w:r w:rsidR="00724570">
        <w:rPr>
          <w:rFonts w:ascii="Times New Roman" w:hAnsi="Times New Roman" w:cs="Times New Roman"/>
          <w:sz w:val="28"/>
          <w:szCs w:val="28"/>
        </w:rPr>
        <w:t>.</w:t>
      </w:r>
      <w:proofErr w:type="gramEnd"/>
      <w:r w:rsidR="00724570">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9</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sidR="00724570">
        <w:rPr>
          <w:rFonts w:ascii="Times New Roman" w:hAnsi="Times New Roman" w:cs="Times New Roman"/>
          <w:sz w:val="28"/>
          <w:szCs w:val="28"/>
        </w:rPr>
        <w:t>...10</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724570">
        <w:rPr>
          <w:rFonts w:ascii="Times New Roman" w:hAnsi="Times New Roman" w:cs="Times New Roman"/>
          <w:sz w:val="28"/>
          <w:szCs w:val="28"/>
        </w:rPr>
        <w:t>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proofErr w:type="gramStart"/>
      <w:r>
        <w:rPr>
          <w:rFonts w:ascii="Times New Roman" w:hAnsi="Times New Roman" w:cs="Times New Roman"/>
          <w:sz w:val="28"/>
          <w:szCs w:val="28"/>
        </w:rPr>
        <w:t>…</w:t>
      </w:r>
      <w:r w:rsidR="0002648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724570">
        <w:rPr>
          <w:rFonts w:ascii="Times New Roman" w:hAnsi="Times New Roman" w:cs="Times New Roman"/>
          <w:sz w:val="28"/>
          <w:szCs w:val="28"/>
        </w:rPr>
        <w:t>17</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proofErr w:type="gramStart"/>
      <w:r>
        <w:rPr>
          <w:rFonts w:ascii="Times New Roman" w:hAnsi="Times New Roman" w:cs="Times New Roman"/>
          <w:sz w:val="28"/>
          <w:szCs w:val="28"/>
        </w:rPr>
        <w:t>…….</w:t>
      </w:r>
      <w:proofErr w:type="gramEnd"/>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proofErr w:type="gramStart"/>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proofErr w:type="gramEnd"/>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w:t>
      </w:r>
      <w:proofErr w:type="gramStart"/>
      <w:r w:rsidR="000F4359">
        <w:rPr>
          <w:rFonts w:ascii="Times New Roman" w:hAnsi="Times New Roman" w:cs="Times New Roman"/>
          <w:sz w:val="28"/>
          <w:szCs w:val="28"/>
        </w:rPr>
        <w:t>…….</w:t>
      </w:r>
      <w:proofErr w:type="gramEnd"/>
      <w:r w:rsidR="000F4359">
        <w:rPr>
          <w:rFonts w:ascii="Times New Roman" w:hAnsi="Times New Roman" w:cs="Times New Roman"/>
          <w:sz w:val="28"/>
          <w:szCs w:val="28"/>
        </w:rPr>
        <w:t>.23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w:t>
      </w:r>
      <w:r w:rsidR="00724570">
        <w:rPr>
          <w:rFonts w:ascii="Times New Roman" w:eastAsia="Times New Roman" w:hAnsi="Times New Roman"/>
          <w:bCs/>
          <w:sz w:val="24"/>
          <w:szCs w:val="24"/>
        </w:rPr>
        <w:t>выполнение контрольной работы</w:t>
      </w:r>
      <w:r w:rsidRPr="00F86E0E">
        <w:rPr>
          <w:rFonts w:ascii="Times New Roman" w:eastAsia="Times New Roman" w:hAnsi="Times New Roman"/>
          <w:bCs/>
          <w:sz w:val="24"/>
          <w:szCs w:val="24"/>
        </w:rPr>
        <w:t>.</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w:t>
      </w:r>
      <w:proofErr w:type="spellStart"/>
      <w:r w:rsidRPr="00F86E0E">
        <w:rPr>
          <w:rFonts w:ascii="Times New Roman" w:eastAsia="Times New Roman" w:hAnsi="Times New Roman"/>
          <w:bCs/>
          <w:sz w:val="24"/>
          <w:szCs w:val="24"/>
        </w:rPr>
        <w:t>Internet</w:t>
      </w:r>
      <w:proofErr w:type="spellEnd"/>
      <w:r w:rsidRPr="00F86E0E">
        <w:rPr>
          <w:rFonts w:ascii="Times New Roman" w:eastAsia="Times New Roman" w:hAnsi="Times New Roman"/>
          <w:bCs/>
          <w:sz w:val="24"/>
          <w:szCs w:val="24"/>
        </w:rPr>
        <w:t xml:space="preserve">, электронными системами (znanium.com, «Университетская библиотека ONLINE»), справочно-правовой системой </w:t>
      </w:r>
      <w:proofErr w:type="spellStart"/>
      <w:r w:rsidRPr="00F86E0E">
        <w:rPr>
          <w:rFonts w:ascii="Times New Roman" w:eastAsia="Times New Roman" w:hAnsi="Times New Roman"/>
          <w:bCs/>
          <w:sz w:val="24"/>
          <w:szCs w:val="24"/>
        </w:rPr>
        <w:t>Консультан</w:t>
      </w:r>
      <w:proofErr w:type="spellEnd"/>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w:t>
      </w:r>
      <w:proofErr w:type="gramStart"/>
      <w:r w:rsidRPr="00F86E0E">
        <w:rPr>
          <w:rFonts w:ascii="Times New Roman" w:hAnsi="Times New Roman" w:cs="Times New Roman"/>
          <w:sz w:val="24"/>
          <w:szCs w:val="24"/>
        </w:rPr>
        <w:t>«следовательно</w:t>
      </w:r>
      <w:proofErr w:type="gramEnd"/>
      <w:r w:rsidRPr="00F86E0E">
        <w:rPr>
          <w:rFonts w:ascii="Times New Roman" w:hAnsi="Times New Roman" w:cs="Times New Roman"/>
          <w:sz w:val="24"/>
          <w:szCs w:val="24"/>
        </w:rPr>
        <w:t xml:space="preserve">»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F86E0E">
        <w:rPr>
          <w:rFonts w:ascii="Times New Roman" w:hAnsi="Times New Roman" w:cs="Times New Roman"/>
          <w:sz w:val="24"/>
          <w:szCs w:val="24"/>
        </w:rPr>
        <w:t>ть</w:t>
      </w:r>
      <w:proofErr w:type="spellEnd"/>
      <w:r w:rsidRPr="00F86E0E">
        <w:rPr>
          <w:rFonts w:ascii="Times New Roman" w:hAnsi="Times New Roman" w:cs="Times New Roman"/>
          <w:sz w:val="24"/>
          <w:szCs w:val="24"/>
        </w:rPr>
        <w:t xml:space="preserve">»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lastRenderedPageBreak/>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w:t>
      </w:r>
      <w:r w:rsidRPr="00F86E0E">
        <w:rPr>
          <w:rFonts w:ascii="Times New Roman" w:eastAsia="Times New Roman" w:hAnsi="Times New Roman" w:cs="Times New Roman"/>
          <w:sz w:val="24"/>
          <w:szCs w:val="24"/>
        </w:rPr>
        <w:lastRenderedPageBreak/>
        <w:t>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w:t>
      </w:r>
      <w:r w:rsidR="00724570">
        <w:rPr>
          <w:rFonts w:ascii="Times New Roman" w:hAnsi="Times New Roman"/>
          <w:b/>
          <w:sz w:val="24"/>
          <w:szCs w:val="24"/>
        </w:rPr>
        <w:t>выполнению контрольной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Весь процесс написания контрольной работы можно условно разделить на следующие этапы: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а) выбор темы и составление предварительного плана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б) сбор научной информации, изучение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 анализ составных частей проблемы, изложение темы;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г) обработка материала в целом.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Общими требованиями к контрольным работам являются: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1) целевая направленность;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2) четкость построения;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3) логическая последовательность;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4) убедительность аргументации;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5) краткость и ясность формулировок;</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6) творческий подход к написанию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7) правильность и обоснованность выводов;</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8) стиль изложения;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9) грамотное оформление.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Исходя из общих требований, контрольная работа должна:</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представлять самостоятельное исследование одной из актуальных правовых проблем;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показать умение студента делать теоретические обобщения и практические выводы в избранной теме;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lastRenderedPageBreak/>
        <w:t>–</w:t>
      </w:r>
      <w:r w:rsidRPr="00724570">
        <w:rPr>
          <w:rFonts w:ascii="Times New Roman" w:eastAsia="Times New Roman" w:hAnsi="Times New Roman" w:cs="Times New Roman"/>
          <w:sz w:val="24"/>
          <w:szCs w:val="24"/>
        </w:rPr>
        <w:tab/>
        <w:t>отличаться логичностью, аргументированностью, достоверностью фактов, проблемным творческим подходом, научной объективностью;</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полностью раскрывать тему, основываясь на источниках и интерпретации исследовательской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F86E0E" w:rsidRDefault="00724570" w:rsidP="00724570">
      <w:pPr>
        <w:spacing w:after="0" w:line="240" w:lineRule="auto"/>
        <w:ind w:left="-567" w:firstLine="709"/>
        <w:jc w:val="both"/>
        <w:rPr>
          <w:rFonts w:ascii="Times New Roman" w:eastAsia="Times New Roman" w:hAnsi="Times New Roman" w:cs="Times New Roman"/>
          <w:color w:val="000000"/>
          <w:sz w:val="24"/>
          <w:szCs w:val="24"/>
        </w:rPr>
      </w:pPr>
      <w:r w:rsidRPr="00724570">
        <w:rPr>
          <w:rFonts w:ascii="Times New Roman" w:eastAsia="Times New Roman" w:hAnsi="Times New Roman" w:cs="Times New Roman"/>
          <w:sz w:val="24"/>
          <w:szCs w:val="24"/>
        </w:rPr>
        <w:t>Контрольная работа должна быть написана правильным литературным языком, не должна содержать орфографических ошибок.</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w:t>
      </w:r>
      <w:proofErr w:type="spellStart"/>
      <w:r w:rsidRPr="00F86E0E">
        <w:rPr>
          <w:rFonts w:ascii="Times New Roman" w:hAnsi="Times New Roman" w:cs="Times New Roman"/>
          <w:sz w:val="24"/>
          <w:szCs w:val="24"/>
        </w:rPr>
        <w:t>агрегированности</w:t>
      </w:r>
      <w:proofErr w:type="spellEnd"/>
      <w:r w:rsidRPr="00F86E0E">
        <w:rPr>
          <w:rFonts w:ascii="Times New Roman" w:hAnsi="Times New Roman" w:cs="Times New Roman"/>
          <w:sz w:val="24"/>
          <w:szCs w:val="24"/>
        </w:rPr>
        <w:t xml:space="preserve">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724570" w:rsidRDefault="00724570"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w:t>
      </w:r>
      <w:r w:rsidRPr="00F86E0E">
        <w:rPr>
          <w:rFonts w:ascii="Times New Roman" w:hAnsi="Times New Roman" w:cs="Times New Roman"/>
          <w:sz w:val="24"/>
          <w:szCs w:val="24"/>
        </w:rPr>
        <w:lastRenderedPageBreak/>
        <w:t xml:space="preserve">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3517F9" w:rsidRDefault="003517F9"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p>
    <w:p w:rsidR="003517F9" w:rsidRDefault="003517F9"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w:t>
      </w:r>
      <w:proofErr w:type="spellStart"/>
      <w:r w:rsidRPr="00F86E0E">
        <w:rPr>
          <w:rFonts w:ascii="Times New Roman" w:hAnsi="Times New Roman" w:cs="Times New Roman"/>
          <w:sz w:val="24"/>
          <w:szCs w:val="24"/>
        </w:rPr>
        <w:t>conspectus</w:t>
      </w:r>
      <w:proofErr w:type="spellEnd"/>
      <w:r w:rsidRPr="00F86E0E">
        <w:rPr>
          <w:rFonts w:ascii="Times New Roman" w:hAnsi="Times New Roman" w:cs="Times New Roman"/>
          <w:sz w:val="24"/>
          <w:szCs w:val="24"/>
        </w:rPr>
        <w:t xml:space="preserve">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w:t>
      </w:r>
      <w:proofErr w:type="gramStart"/>
      <w:r w:rsidRPr="00F86E0E">
        <w:rPr>
          <w:rFonts w:ascii="Times New Roman" w:hAnsi="Times New Roman" w:cs="Times New Roman"/>
          <w:sz w:val="24"/>
          <w:szCs w:val="24"/>
        </w:rPr>
        <w:t>так же</w:t>
      </w:r>
      <w:proofErr w:type="gramEnd"/>
      <w:r w:rsidRPr="00F86E0E">
        <w:rPr>
          <w:rFonts w:ascii="Times New Roman" w:hAnsi="Times New Roman" w:cs="Times New Roman"/>
          <w:sz w:val="24"/>
          <w:szCs w:val="24"/>
        </w:rPr>
        <w:t xml:space="preserve">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w:t>
      </w:r>
      <w:proofErr w:type="spellStart"/>
      <w:r w:rsidRPr="00F86E0E">
        <w:rPr>
          <w:rFonts w:ascii="Times New Roman" w:hAnsi="Times New Roman" w:cs="Times New Roman"/>
          <w:sz w:val="24"/>
          <w:szCs w:val="24"/>
        </w:rPr>
        <w:t>связаннее</w:t>
      </w:r>
      <w:proofErr w:type="spellEnd"/>
      <w:r w:rsidRPr="00F86E0E">
        <w:rPr>
          <w:rFonts w:ascii="Times New Roman" w:hAnsi="Times New Roman" w:cs="Times New Roman"/>
          <w:sz w:val="24"/>
          <w:szCs w:val="24"/>
        </w:rPr>
        <w:t xml:space="preserve">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w:t>
      </w:r>
      <w:r w:rsidRPr="00F86E0E">
        <w:rPr>
          <w:rFonts w:ascii="Times New Roman" w:hAnsi="Times New Roman" w:cs="Times New Roman"/>
          <w:sz w:val="24"/>
          <w:szCs w:val="24"/>
        </w:rPr>
        <w:lastRenderedPageBreak/>
        <w:t xml:space="preserve">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3517F9">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3517F9">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w:t>
      </w:r>
      <w:proofErr w:type="gramStart"/>
      <w:r w:rsidRPr="006357BF">
        <w:rPr>
          <w:rFonts w:ascii="Times New Roman" w:hAnsi="Times New Roman" w:cs="Times New Roman"/>
          <w:sz w:val="24"/>
          <w:szCs w:val="24"/>
        </w:rPr>
        <w:t>чел</w:t>
      </w:r>
      <w:proofErr w:type="gramEnd"/>
      <w:r w:rsidRPr="006357BF">
        <w:rPr>
          <w:rFonts w:ascii="Times New Roman" w:hAnsi="Times New Roman" w:cs="Times New Roman"/>
          <w:sz w:val="24"/>
          <w:szCs w:val="24"/>
        </w:rPr>
        <w:t xml:space="preserve">).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w:t>
      </w:r>
      <w:r w:rsidRPr="009D664D">
        <w:rPr>
          <w:rFonts w:ascii="Times New Roman" w:eastAsia="Times New Roman" w:hAnsi="Times New Roman" w:cs="Times New Roman"/>
          <w:color w:val="000000"/>
          <w:sz w:val="24"/>
          <w:szCs w:val="24"/>
        </w:rPr>
        <w:lastRenderedPageBreak/>
        <w:t>«ответчиком»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Эти действия проводятся студентами в </w:t>
      </w:r>
      <w:proofErr w:type="spellStart"/>
      <w:r w:rsidRPr="009D664D">
        <w:rPr>
          <w:rFonts w:ascii="Times New Roman" w:eastAsia="Times New Roman" w:hAnsi="Times New Roman" w:cs="Times New Roman"/>
          <w:color w:val="000000"/>
          <w:sz w:val="24"/>
          <w:szCs w:val="24"/>
        </w:rPr>
        <w:t>неучебное</w:t>
      </w:r>
      <w:proofErr w:type="spellEnd"/>
      <w:r w:rsidRPr="009D664D">
        <w:rPr>
          <w:rFonts w:ascii="Times New Roman" w:eastAsia="Times New Roman" w:hAnsi="Times New Roman" w:cs="Times New Roman"/>
          <w:color w:val="000000"/>
          <w:sz w:val="24"/>
          <w:szCs w:val="24"/>
        </w:rPr>
        <w:t xml:space="preserve">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xml:space="preserve">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w:t>
      </w: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7.Суд переходит к рассмотрению </w:t>
      </w:r>
      <w:proofErr w:type="gramStart"/>
      <w:r w:rsidRPr="009D664D">
        <w:rPr>
          <w:rFonts w:ascii="Times New Roman" w:eastAsia="Times New Roman" w:hAnsi="Times New Roman" w:cs="Times New Roman"/>
          <w:color w:val="000000"/>
          <w:sz w:val="24"/>
          <w:szCs w:val="24"/>
        </w:rPr>
        <w:t>дела</w:t>
      </w:r>
      <w:proofErr w:type="gramEnd"/>
      <w:r w:rsidRPr="009D664D">
        <w:rPr>
          <w:rFonts w:ascii="Times New Roman" w:eastAsia="Times New Roman" w:hAnsi="Times New Roman" w:cs="Times New Roman"/>
          <w:color w:val="000000"/>
          <w:sz w:val="24"/>
          <w:szCs w:val="24"/>
        </w:rPr>
        <w:t xml:space="preserve">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w:t>
      </w:r>
      <w:r w:rsidRPr="00F86E0E">
        <w:rPr>
          <w:rFonts w:ascii="Times New Roman" w:hAnsi="Times New Roman" w:cs="Times New Roman"/>
          <w:sz w:val="24"/>
          <w:szCs w:val="24"/>
        </w:rPr>
        <w:lastRenderedPageBreak/>
        <w:t>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w:t>
      </w:r>
      <w:r w:rsidRPr="00F86E0E">
        <w:rPr>
          <w:color w:val="000000"/>
        </w:rPr>
        <w:lastRenderedPageBreak/>
        <w:t>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6D" w:rsidRDefault="001B2E6D" w:rsidP="009C4F41">
      <w:pPr>
        <w:spacing w:after="0" w:line="240" w:lineRule="auto"/>
      </w:pPr>
      <w:r>
        <w:separator/>
      </w:r>
    </w:p>
  </w:endnote>
  <w:endnote w:type="continuationSeparator" w:id="0">
    <w:p w:rsidR="001B2E6D" w:rsidRDefault="001B2E6D"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3517F9">
          <w:rPr>
            <w:noProof/>
          </w:rPr>
          <w:t>19</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6D" w:rsidRDefault="001B2E6D" w:rsidP="009C4F41">
      <w:pPr>
        <w:spacing w:after="0" w:line="240" w:lineRule="auto"/>
      </w:pPr>
      <w:r>
        <w:separator/>
      </w:r>
    </w:p>
  </w:footnote>
  <w:footnote w:type="continuationSeparator" w:id="0">
    <w:p w:rsidR="001B2E6D" w:rsidRDefault="001B2E6D"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202A4"/>
    <w:rsid w:val="0002648D"/>
    <w:rsid w:val="000A42AC"/>
    <w:rsid w:val="000C30E1"/>
    <w:rsid w:val="000F3121"/>
    <w:rsid w:val="000F4359"/>
    <w:rsid w:val="00112E32"/>
    <w:rsid w:val="00141CB0"/>
    <w:rsid w:val="00185BCD"/>
    <w:rsid w:val="00194116"/>
    <w:rsid w:val="001B2E6D"/>
    <w:rsid w:val="001E2C9E"/>
    <w:rsid w:val="001F68FB"/>
    <w:rsid w:val="002020FD"/>
    <w:rsid w:val="002700DD"/>
    <w:rsid w:val="003050A4"/>
    <w:rsid w:val="00345C20"/>
    <w:rsid w:val="003517F9"/>
    <w:rsid w:val="00380AFD"/>
    <w:rsid w:val="003D4BEE"/>
    <w:rsid w:val="003F7C7A"/>
    <w:rsid w:val="00451E80"/>
    <w:rsid w:val="004A2BAC"/>
    <w:rsid w:val="0054409B"/>
    <w:rsid w:val="00553BBE"/>
    <w:rsid w:val="006357BF"/>
    <w:rsid w:val="006F462B"/>
    <w:rsid w:val="00724570"/>
    <w:rsid w:val="007A753B"/>
    <w:rsid w:val="00833EB8"/>
    <w:rsid w:val="008E37B8"/>
    <w:rsid w:val="00905DF7"/>
    <w:rsid w:val="00941B2E"/>
    <w:rsid w:val="0097311D"/>
    <w:rsid w:val="009C4F41"/>
    <w:rsid w:val="009D2550"/>
    <w:rsid w:val="009D6E3F"/>
    <w:rsid w:val="00AA4B36"/>
    <w:rsid w:val="00AD16C3"/>
    <w:rsid w:val="00AF32B0"/>
    <w:rsid w:val="00AF6366"/>
    <w:rsid w:val="00B30CF1"/>
    <w:rsid w:val="00C05FA7"/>
    <w:rsid w:val="00CE1DB6"/>
    <w:rsid w:val="00D22F03"/>
    <w:rsid w:val="00D47509"/>
    <w:rsid w:val="00D870CD"/>
    <w:rsid w:val="00DC3F3F"/>
    <w:rsid w:val="00DE1006"/>
    <w:rsid w:val="00E17D50"/>
    <w:rsid w:val="00E36D9E"/>
    <w:rsid w:val="00EB6CBD"/>
    <w:rsid w:val="00EC352F"/>
    <w:rsid w:val="00F0599C"/>
    <w:rsid w:val="00F37DA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967E-831E-4E63-8BD0-30C7FE1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27F4-0E9B-4A5A-94FB-F97259BE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6</cp:revision>
  <cp:lastPrinted>2019-10-13T11:10:00Z</cp:lastPrinted>
  <dcterms:created xsi:type="dcterms:W3CDTF">2019-10-13T11:10:00Z</dcterms:created>
  <dcterms:modified xsi:type="dcterms:W3CDTF">2019-12-13T06:15:00Z</dcterms:modified>
</cp:coreProperties>
</file>