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2E770A">
        <w:rPr>
          <w:b/>
          <w:bCs/>
          <w:sz w:val="28"/>
          <w:szCs w:val="28"/>
        </w:rPr>
        <w:t>обучения литературному чтению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E77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E77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литературному чтению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</w:t>
      </w:r>
      <w:r w:rsidR="008D7778">
        <w:rPr>
          <w:rFonts w:ascii="Times New Roman" w:hAnsi="Times New Roman"/>
          <w:sz w:val="28"/>
          <w:szCs w:val="28"/>
        </w:rPr>
        <w:t>а</w:t>
      </w:r>
      <w:r w:rsidR="008D7778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2E770A">
        <w:rPr>
          <w:rFonts w:ascii="Times New Roman" w:eastAsia="Times New Roman" w:hAnsi="Times New Roman"/>
          <w:sz w:val="28"/>
          <w:szCs w:val="28"/>
        </w:rPr>
        <w:t>обуч</w:t>
      </w:r>
      <w:r w:rsidR="002E770A">
        <w:rPr>
          <w:rFonts w:ascii="Times New Roman" w:eastAsia="Times New Roman" w:hAnsi="Times New Roman"/>
          <w:sz w:val="28"/>
          <w:szCs w:val="28"/>
        </w:rPr>
        <w:t>е</w:t>
      </w:r>
      <w:r w:rsidR="002E770A">
        <w:rPr>
          <w:rFonts w:ascii="Times New Roman" w:eastAsia="Times New Roman" w:hAnsi="Times New Roman"/>
          <w:sz w:val="28"/>
          <w:szCs w:val="28"/>
        </w:rPr>
        <w:t>ния</w:t>
      </w:r>
      <w:r w:rsidR="00C22E62">
        <w:rPr>
          <w:rFonts w:ascii="Times New Roman" w:eastAsia="Times New Roman" w:hAnsi="Times New Roman"/>
          <w:sz w:val="28"/>
          <w:szCs w:val="28"/>
        </w:rPr>
        <w:t xml:space="preserve"> литератур</w:t>
      </w:r>
      <w:r w:rsidR="002E770A">
        <w:rPr>
          <w:rFonts w:ascii="Times New Roman" w:eastAsia="Times New Roman" w:hAnsi="Times New Roman"/>
          <w:sz w:val="28"/>
          <w:szCs w:val="28"/>
        </w:rPr>
        <w:t>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>рии лингвистического</w:t>
      </w:r>
      <w:r w:rsidR="000C343C">
        <w:rPr>
          <w:sz w:val="28"/>
          <w:szCs w:val="28"/>
        </w:rPr>
        <w:t>,</w:t>
      </w:r>
      <w:r w:rsidR="00EF59DB">
        <w:rPr>
          <w:sz w:val="28"/>
          <w:szCs w:val="28"/>
        </w:rPr>
        <w:t xml:space="preserve"> </w:t>
      </w:r>
      <w:r w:rsidR="000C343C">
        <w:rPr>
          <w:sz w:val="28"/>
          <w:szCs w:val="28"/>
        </w:rPr>
        <w:t>этического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«Методика обучения 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чтению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2E770A" w:rsidRDefault="002E770A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Б1.Д.Б.14 Педагогика, Б1.Д.Б.16 Методика воспитательной работы, Б1.Д.Б.22 Детская литература, Б1.Д.В.2 Педагогика начального образования. Введение в педагогическую деятельность учителя начальных классов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Основы проектной деятельности, Б1.Д.Б.17 Технология проектирования образовательных программ, Б1.Д.В.3 Современные образовательные технологии, Б1.Д.В.7 Практикум по выразительному чтению, Б2.П.В.П.1 Педагогическая практика, Б2.П.В.П.2 Преддипломная практика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E587E" w:rsidRDefault="00DE587E" w:rsidP="00DE587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DE587E" w:rsidTr="00DE587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 xml:space="preserve">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</w:t>
            </w:r>
            <w:r>
              <w:rPr>
                <w:rFonts w:eastAsia="Times New Roman"/>
              </w:rPr>
              <w:lastRenderedPageBreak/>
              <w:t xml:space="preserve">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применять возможности психолого-педагогических технологий в индивидуализации обучения, развития и воспитания, в том числе обучающихся с особыми образовательными потребностями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pPr w:leftFromText="180" w:rightFromText="180" w:horzAnchor="margin" w:tblpXSpec="center" w:tblpY="-3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DE587E" w:rsidTr="00DE587E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DE587E" w:rsidTr="00DE587E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DE587E" w:rsidRDefault="00DE587E" w:rsidP="00DE587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</w:tbl>
    <w:tbl>
      <w:tblPr>
        <w:tblpPr w:leftFromText="180" w:rightFromText="180" w:vertAnchor="text" w:horzAnchor="page" w:tblpX="284" w:tblpY="343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803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lastRenderedPageBreak/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DE587E">
        <w:rPr>
          <w:rFonts w:ascii="Times New Roman" w:hAnsi="Times New Roman" w:cs="Times New Roman"/>
          <w:sz w:val="28"/>
          <w:szCs w:val="28"/>
        </w:rPr>
        <w:t>«Методика обучения литературному чтению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="00A628A9" w:rsidRPr="00A628A9">
        <w:rPr>
          <w:rFonts w:ascii="Times New Roman" w:hAnsi="Times New Roman" w:cs="Times New Roman"/>
          <w:sz w:val="28"/>
          <w:szCs w:val="28"/>
        </w:rPr>
        <w:t>а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обучения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л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терату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рному чтению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lastRenderedPageBreak/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2" w:rsidRDefault="00273182" w:rsidP="00817BE6">
      <w:pPr>
        <w:spacing w:after="0" w:line="240" w:lineRule="auto"/>
      </w:pPr>
      <w:r>
        <w:separator/>
      </w:r>
    </w:p>
  </w:endnote>
  <w:end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3182" w:rsidRDefault="00CE03D3">
        <w:pPr>
          <w:pStyle w:val="a7"/>
          <w:jc w:val="center"/>
        </w:pPr>
        <w:fldSimple w:instr="PAGE   \* MERGEFORMAT">
          <w:r w:rsidR="00EF59DB">
            <w:rPr>
              <w:noProof/>
            </w:rPr>
            <w:t>11</w:t>
          </w:r>
        </w:fldSimple>
      </w:p>
    </w:sdtContent>
  </w:sdt>
  <w:p w:rsidR="00273182" w:rsidRDefault="00273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2" w:rsidRDefault="00273182" w:rsidP="00817BE6">
      <w:pPr>
        <w:spacing w:after="0" w:line="240" w:lineRule="auto"/>
      </w:pPr>
      <w:r>
        <w:separator/>
      </w:r>
    </w:p>
  </w:footnote>
  <w:foot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E770A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6FDC"/>
    <w:rsid w:val="004B7D0A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661BC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5F6DC6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03D3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E587E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EF59DB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02E2-2FD5-4EE8-BB1A-C5F31F89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28</Pages>
  <Words>8179</Words>
  <Characters>46623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84</cp:revision>
  <dcterms:created xsi:type="dcterms:W3CDTF">2016-10-09T16:26:00Z</dcterms:created>
  <dcterms:modified xsi:type="dcterms:W3CDTF">2019-11-15T12:41:00Z</dcterms:modified>
</cp:coreProperties>
</file>