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8416AE" w:rsidRPr="00474F43" w:rsidRDefault="008416AE" w:rsidP="008416AE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4F43">
        <w:rPr>
          <w:rFonts w:ascii="Times New Roman" w:eastAsia="Calibri" w:hAnsi="Times New Roman" w:cs="Times New Roman"/>
          <w:i/>
          <w:sz w:val="28"/>
          <w:szCs w:val="28"/>
        </w:rPr>
        <w:t>«Б</w:t>
      </w:r>
      <w:proofErr w:type="gramStart"/>
      <w:r w:rsidRPr="00474F4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474F43">
        <w:rPr>
          <w:rFonts w:ascii="Times New Roman" w:eastAsia="Calibri" w:hAnsi="Times New Roman" w:cs="Times New Roman"/>
          <w:i/>
          <w:sz w:val="28"/>
          <w:szCs w:val="28"/>
        </w:rPr>
        <w:t xml:space="preserve">.Д.В.7 </w:t>
      </w:r>
      <w:bookmarkStart w:id="0" w:name="_GoBack"/>
      <w:r w:rsidRPr="00474F43">
        <w:rPr>
          <w:rFonts w:ascii="Times New Roman" w:eastAsia="Calibri" w:hAnsi="Times New Roman" w:cs="Times New Roman"/>
          <w:i/>
          <w:sz w:val="28"/>
          <w:szCs w:val="28"/>
        </w:rPr>
        <w:t>Медико-биологические проблемы экологии человека</w:t>
      </w:r>
      <w:bookmarkEnd w:id="0"/>
      <w:r w:rsidRPr="00474F4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416AE" w:rsidRDefault="008416AE" w:rsidP="008416AE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C80B85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9075D">
        <w:rPr>
          <w:sz w:val="24"/>
        </w:rPr>
        <w:t>2021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99075D">
        <w:rPr>
          <w:sz w:val="28"/>
          <w:szCs w:val="20"/>
        </w:rPr>
        <w:t>2021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9075D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="00440111" w:rsidRPr="00611364">
        <w:rPr>
          <w:rFonts w:ascii="Times New Roman" w:hAnsi="Times New Roman" w:cs="Times New Roman"/>
          <w:sz w:val="28"/>
          <w:szCs w:val="28"/>
        </w:rPr>
        <w:t>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C80B85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C80B85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P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</w:t>
      </w:r>
      <w:proofErr w:type="spellStart"/>
      <w:r w:rsidRPr="00952918">
        <w:rPr>
          <w:sz w:val="28"/>
          <w:szCs w:val="28"/>
        </w:rPr>
        <w:t>демоэтнической</w:t>
      </w:r>
      <w:proofErr w:type="spellEnd"/>
      <w:r w:rsidRPr="00952918">
        <w:rPr>
          <w:sz w:val="28"/>
          <w:szCs w:val="28"/>
        </w:rPr>
        <w:t xml:space="preserve">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кризиса и путей его преодоления.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9075D" w:rsidRPr="0099075D" w:rsidTr="0099075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9075D" w:rsidRPr="0099075D" w:rsidTr="0099075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</w:tr>
      <w:tr w:rsidR="0099075D" w:rsidRPr="0099075D" w:rsidTr="0099075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52918" w:rsidRDefault="00952918" w:rsidP="0099075D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C80B85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промежуточному 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8416AE" w:rsidRPr="007716C5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416AE" w:rsidRPr="007716C5" w:rsidRDefault="008416AE" w:rsidP="008416A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416AE" w:rsidRPr="007716C5" w:rsidRDefault="008416AE" w:rsidP="008416A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6AE" w:rsidRPr="007716C5" w:rsidRDefault="008416AE" w:rsidP="008416A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8416AE" w:rsidRPr="007716C5" w:rsidRDefault="008416AE" w:rsidP="008416A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2"/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"/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4"/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5"/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</w:t>
      </w:r>
      <w:proofErr w:type="gramStart"/>
      <w:r w:rsidRPr="00952918">
        <w:rPr>
          <w:sz w:val="28"/>
          <w:szCs w:val="28"/>
        </w:rPr>
        <w:t xml:space="preserve"> .</w:t>
      </w:r>
      <w:proofErr w:type="gramEnd"/>
      <w:r w:rsidRPr="00952918">
        <w:rPr>
          <w:sz w:val="28"/>
          <w:szCs w:val="28"/>
        </w:rPr>
        <w:t xml:space="preserve"> - Ставрополь : Ставропольский государственный аграрный университет, 2013. - 120 с. - ISBN 978-5-9596-0907-8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- 232 с. : ил.</w:t>
      </w:r>
      <w:proofErr w:type="gramStart"/>
      <w:r w:rsidRPr="00952918">
        <w:rPr>
          <w:sz w:val="28"/>
          <w:szCs w:val="28"/>
        </w:rPr>
        <w:t>,</w:t>
      </w:r>
      <w:proofErr w:type="spellStart"/>
      <w:r w:rsidRPr="00952918">
        <w:rPr>
          <w:sz w:val="28"/>
          <w:szCs w:val="28"/>
        </w:rPr>
        <w:t>т</w:t>
      </w:r>
      <w:proofErr w:type="gramEnd"/>
      <w:r w:rsidRPr="00952918">
        <w:rPr>
          <w:sz w:val="28"/>
          <w:szCs w:val="28"/>
        </w:rPr>
        <w:t>абл</w:t>
      </w:r>
      <w:proofErr w:type="spellEnd"/>
      <w:r w:rsidRPr="00952918">
        <w:rPr>
          <w:sz w:val="28"/>
          <w:szCs w:val="28"/>
        </w:rPr>
        <w:t>., схем. - ISBN 5-94087-065-1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952918">
        <w:rPr>
          <w:bCs/>
          <w:color w:val="000000"/>
          <w:sz w:val="28"/>
          <w:szCs w:val="28"/>
        </w:rPr>
        <w:t>- Кузнецов, Л. М.</w:t>
      </w:r>
      <w:r w:rsidRPr="00952918">
        <w:rPr>
          <w:color w:val="000000"/>
          <w:sz w:val="28"/>
          <w:szCs w:val="28"/>
        </w:rPr>
        <w:t> </w:t>
      </w:r>
      <w:r w:rsidRPr="00952918">
        <w:rPr>
          <w:bCs/>
          <w:color w:val="000000"/>
          <w:sz w:val="28"/>
          <w:szCs w:val="28"/>
        </w:rPr>
        <w:t> Экология</w:t>
      </w:r>
      <w:r w:rsidRPr="00952918">
        <w:rPr>
          <w:color w:val="000000"/>
          <w:sz w:val="28"/>
          <w:szCs w:val="28"/>
        </w:rPr>
        <w:t> [Текст]</w:t>
      </w:r>
      <w:proofErr w:type="gramStart"/>
      <w:r w:rsidRPr="00952918">
        <w:rPr>
          <w:color w:val="000000"/>
          <w:sz w:val="28"/>
          <w:szCs w:val="28"/>
        </w:rPr>
        <w:t> :</w:t>
      </w:r>
      <w:proofErr w:type="gramEnd"/>
      <w:r w:rsidRPr="00952918">
        <w:rPr>
          <w:color w:val="000000"/>
          <w:sz w:val="28"/>
          <w:szCs w:val="28"/>
        </w:rPr>
        <w:t xml:space="preserve">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952918">
        <w:rPr>
          <w:color w:val="000000"/>
          <w:sz w:val="28"/>
          <w:szCs w:val="28"/>
        </w:rPr>
        <w:t xml:space="preserve">Л. М. Кузнецов, А. С. Николаев.- 2-е изд., </w:t>
      </w:r>
      <w:proofErr w:type="spellStart"/>
      <w:r w:rsidRPr="00952918">
        <w:rPr>
          <w:color w:val="000000"/>
          <w:sz w:val="28"/>
          <w:szCs w:val="28"/>
        </w:rPr>
        <w:t>перераб</w:t>
      </w:r>
      <w:proofErr w:type="spellEnd"/>
      <w:r w:rsidRPr="00952918">
        <w:rPr>
          <w:color w:val="000000"/>
          <w:sz w:val="28"/>
          <w:szCs w:val="28"/>
        </w:rPr>
        <w:t xml:space="preserve">. и доп. - Москва : </w:t>
      </w:r>
      <w:proofErr w:type="spellStart"/>
      <w:r w:rsidRPr="00952918">
        <w:rPr>
          <w:color w:val="000000"/>
          <w:sz w:val="28"/>
          <w:szCs w:val="28"/>
        </w:rPr>
        <w:t>Юрайт</w:t>
      </w:r>
      <w:proofErr w:type="spellEnd"/>
      <w:r w:rsidRPr="00952918">
        <w:rPr>
          <w:color w:val="000000"/>
          <w:sz w:val="28"/>
          <w:szCs w:val="28"/>
        </w:rPr>
        <w:t>, 2016. - 280 с. - (Профессиональное образование) - ISBN 978-5-9916-6362-5;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Марков, Ю. Г. Социальная экология. Взаимодействие общества и природы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учебное пособие / Ю. Г. Марков.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- 544 с. - ISBN 5-94087-090-2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 </w:t>
      </w:r>
      <w:hyperlink r:id="rId11" w:history="1">
        <w:r w:rsidRPr="00952918">
          <w:rPr>
            <w:rStyle w:val="ac"/>
            <w:sz w:val="28"/>
            <w:szCs w:val="28"/>
          </w:rPr>
          <w:t>http://biblioclub.ru/index.php?page=book&amp;id=57987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 xml:space="preserve">- </w:t>
      </w:r>
      <w:proofErr w:type="spellStart"/>
      <w:r w:rsidRPr="00952918">
        <w:rPr>
          <w:bCs/>
          <w:sz w:val="28"/>
          <w:szCs w:val="28"/>
        </w:rPr>
        <w:t>Николайкин</w:t>
      </w:r>
      <w:proofErr w:type="spellEnd"/>
      <w:r w:rsidRPr="00952918">
        <w:rPr>
          <w:bCs/>
          <w:sz w:val="28"/>
          <w:szCs w:val="28"/>
        </w:rPr>
        <w:t>, Н. И.</w:t>
      </w:r>
      <w:r w:rsidRPr="00952918">
        <w:rPr>
          <w:sz w:val="28"/>
          <w:szCs w:val="28"/>
        </w:rPr>
        <w:t>  </w:t>
      </w:r>
      <w:r w:rsidRPr="00952918">
        <w:rPr>
          <w:bCs/>
          <w:sz w:val="28"/>
          <w:szCs w:val="28"/>
        </w:rPr>
        <w:t> Экология</w:t>
      </w:r>
      <w:r w:rsidRPr="00952918">
        <w:rPr>
          <w:sz w:val="28"/>
          <w:szCs w:val="28"/>
        </w:rPr>
        <w:t> [Текст]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учеб. / Н. И. </w:t>
      </w:r>
      <w:proofErr w:type="spellStart"/>
      <w:r w:rsidRPr="00952918">
        <w:rPr>
          <w:sz w:val="28"/>
          <w:szCs w:val="28"/>
        </w:rPr>
        <w:t>Николайкин</w:t>
      </w:r>
      <w:proofErr w:type="spellEnd"/>
      <w:r w:rsidRPr="00952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Pr="00952918">
        <w:rPr>
          <w:sz w:val="28"/>
          <w:szCs w:val="28"/>
        </w:rPr>
        <w:t xml:space="preserve">Н. Е. </w:t>
      </w:r>
      <w:proofErr w:type="spellStart"/>
      <w:r w:rsidRPr="00952918">
        <w:rPr>
          <w:sz w:val="28"/>
          <w:szCs w:val="28"/>
        </w:rPr>
        <w:t>Николайкина</w:t>
      </w:r>
      <w:proofErr w:type="spellEnd"/>
      <w:r w:rsidRPr="00952918">
        <w:rPr>
          <w:sz w:val="28"/>
          <w:szCs w:val="28"/>
        </w:rPr>
        <w:t xml:space="preserve">, О. П. Мелихова.- 3-е изд., </w:t>
      </w:r>
      <w:proofErr w:type="spellStart"/>
      <w:r w:rsidRPr="00952918">
        <w:rPr>
          <w:sz w:val="28"/>
          <w:szCs w:val="28"/>
        </w:rPr>
        <w:t>стериотип</w:t>
      </w:r>
      <w:proofErr w:type="spellEnd"/>
      <w:r w:rsidRPr="00952918">
        <w:rPr>
          <w:sz w:val="28"/>
          <w:szCs w:val="28"/>
        </w:rPr>
        <w:t>..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Дрофа, 2010. - 624 с. : ил</w:t>
      </w:r>
      <w:proofErr w:type="gramStart"/>
      <w:r w:rsidRPr="00952918">
        <w:rPr>
          <w:sz w:val="28"/>
          <w:szCs w:val="28"/>
        </w:rPr>
        <w:t>.. - (</w:t>
      </w:r>
      <w:proofErr w:type="gramEnd"/>
      <w:r w:rsidRPr="00952918">
        <w:rPr>
          <w:sz w:val="28"/>
          <w:szCs w:val="28"/>
        </w:rPr>
        <w:t xml:space="preserve">Высшее образование). - </w:t>
      </w:r>
      <w:proofErr w:type="spellStart"/>
      <w:r w:rsidRPr="00952918">
        <w:rPr>
          <w:sz w:val="28"/>
          <w:szCs w:val="28"/>
        </w:rPr>
        <w:t>Библиогр</w:t>
      </w:r>
      <w:proofErr w:type="spellEnd"/>
      <w:r w:rsidRPr="00952918">
        <w:rPr>
          <w:sz w:val="28"/>
          <w:szCs w:val="28"/>
        </w:rPr>
        <w:t>.: с. 583-590 - ISBN 5-7107-8246-7.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журнал. - Оренбург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ГОУ ОГУ, </w:t>
      </w:r>
      <w:r w:rsidR="0099075D">
        <w:rPr>
          <w:sz w:val="28"/>
          <w:szCs w:val="28"/>
        </w:rPr>
        <w:t>2021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</w:t>
      </w:r>
      <w:proofErr w:type="gramStart"/>
      <w:r w:rsidRPr="00952918">
        <w:rPr>
          <w:sz w:val="28"/>
          <w:szCs w:val="28"/>
        </w:rPr>
        <w:t xml:space="preserve">  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ФБУЗ Федеральный центр гигиены и эпидемиологии, </w:t>
      </w:r>
      <w:r w:rsidR="0099075D">
        <w:rPr>
          <w:sz w:val="28"/>
          <w:szCs w:val="28"/>
        </w:rPr>
        <w:t>2021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ООО </w:t>
      </w:r>
      <w:proofErr w:type="spellStart"/>
      <w:r w:rsidRPr="00952918">
        <w:rPr>
          <w:sz w:val="28"/>
          <w:szCs w:val="28"/>
        </w:rPr>
        <w:t>Калвис</w:t>
      </w:r>
      <w:proofErr w:type="spellEnd"/>
      <w:r w:rsidRPr="00952918">
        <w:rPr>
          <w:sz w:val="28"/>
          <w:szCs w:val="28"/>
        </w:rPr>
        <w:t xml:space="preserve">, </w:t>
      </w:r>
      <w:r w:rsidR="0099075D">
        <w:rPr>
          <w:sz w:val="28"/>
          <w:szCs w:val="28"/>
        </w:rPr>
        <w:t>2021</w:t>
      </w:r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2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</w:t>
      </w:r>
      <w:proofErr w:type="gramStart"/>
      <w:r w:rsidRPr="00952918">
        <w:rPr>
          <w:sz w:val="28"/>
          <w:szCs w:val="28"/>
        </w:rPr>
        <w:t>Естественно-научный</w:t>
      </w:r>
      <w:proofErr w:type="gramEnd"/>
      <w:r w:rsidRPr="00952918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3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C80B85">
      <w:footerReference w:type="default" r:id="rId14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A3" w:rsidRDefault="00BE1FA3" w:rsidP="00FF0076">
      <w:pPr>
        <w:spacing w:after="0" w:line="240" w:lineRule="auto"/>
      </w:pPr>
      <w:r>
        <w:separator/>
      </w:r>
    </w:p>
  </w:endnote>
  <w:endnote w:type="continuationSeparator" w:id="0">
    <w:p w:rsidR="00BE1FA3" w:rsidRDefault="00BE1FA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F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A3" w:rsidRDefault="00BE1FA3" w:rsidP="00FF0076">
      <w:pPr>
        <w:spacing w:after="0" w:line="240" w:lineRule="auto"/>
      </w:pPr>
      <w:r>
        <w:separator/>
      </w:r>
    </w:p>
  </w:footnote>
  <w:footnote w:type="continuationSeparator" w:id="0">
    <w:p w:rsidR="00BE1FA3" w:rsidRDefault="00BE1FA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474F43"/>
    <w:rsid w:val="0048547B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711B"/>
    <w:rsid w:val="00827C50"/>
    <w:rsid w:val="008416AE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46A2B"/>
    <w:rsid w:val="00952918"/>
    <w:rsid w:val="0096479F"/>
    <w:rsid w:val="009838CD"/>
    <w:rsid w:val="0099075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C60D0"/>
    <w:rsid w:val="00AF6F86"/>
    <w:rsid w:val="00B14114"/>
    <w:rsid w:val="00B14123"/>
    <w:rsid w:val="00B67BE1"/>
    <w:rsid w:val="00B775E4"/>
    <w:rsid w:val="00B81E60"/>
    <w:rsid w:val="00B936EC"/>
    <w:rsid w:val="00BE01EB"/>
    <w:rsid w:val="00BE1FA3"/>
    <w:rsid w:val="00C14859"/>
    <w:rsid w:val="00C56C34"/>
    <w:rsid w:val="00C80B85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94C88"/>
    <w:rsid w:val="00DF35C7"/>
    <w:rsid w:val="00DF3E67"/>
    <w:rsid w:val="00E02DC5"/>
    <w:rsid w:val="00E272D8"/>
    <w:rsid w:val="00E345BB"/>
    <w:rsid w:val="00E40151"/>
    <w:rsid w:val="00E44499"/>
    <w:rsid w:val="00E64344"/>
    <w:rsid w:val="00E652AF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613D-AE36-4D3C-A64F-AA197522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33</cp:revision>
  <dcterms:created xsi:type="dcterms:W3CDTF">2017-12-04T08:54:00Z</dcterms:created>
  <dcterms:modified xsi:type="dcterms:W3CDTF">2021-09-10T04:43:00Z</dcterms:modified>
</cp:coreProperties>
</file>