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3E1CEC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 Философия»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E254C1" w:rsidRDefault="00E254C1" w:rsidP="00E254C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254C1" w:rsidRDefault="00E254C1" w:rsidP="00E254C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254C1" w:rsidRDefault="00E254C1" w:rsidP="00E254C1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254C1" w:rsidRDefault="00E254C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E254C1" w:rsidRDefault="00E254C1" w:rsidP="00E254C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254C1" w:rsidRDefault="00E254C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>
        <w:rPr>
          <w:i/>
          <w:sz w:val="24"/>
          <w:u w:val="single"/>
        </w:rPr>
        <w:t>нефтегазодобыча</w:t>
      </w:r>
      <w:proofErr w:type="spellEnd"/>
      <w:r>
        <w:rPr>
          <w:i/>
          <w:sz w:val="24"/>
          <w:u w:val="single"/>
        </w:rPr>
        <w:t>)</w:t>
      </w:r>
    </w:p>
    <w:p w:rsidR="00E254C1" w:rsidRDefault="00E254C1" w:rsidP="00E254C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254C1" w:rsidRDefault="00E254C1" w:rsidP="00E254C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254C1" w:rsidRDefault="00E254C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E254C1" w:rsidRDefault="00E254C1" w:rsidP="00E254C1">
      <w:pPr>
        <w:pStyle w:val="ReportHead"/>
        <w:suppressAutoHyphens/>
        <w:rPr>
          <w:sz w:val="24"/>
        </w:rPr>
      </w:pPr>
    </w:p>
    <w:p w:rsidR="00E254C1" w:rsidRDefault="00E254C1" w:rsidP="00E254C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254C1" w:rsidRDefault="00E254C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254C1" w:rsidRDefault="00E254C1" w:rsidP="00E254C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254C1" w:rsidRDefault="00E254C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E254C1" w:rsidRDefault="00E254C1" w:rsidP="00E254C1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Бузулук: БГТИ (филиал) ОГУ, 2016.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>«___»______________2016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E2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23.03.03</w:t>
      </w:r>
      <w:r w:rsidR="003E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Энергетика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Б.1.Б.3 Экономика, Б.1.Б.14 Теория государства и права, Б.1.Б.35 Логика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Б.1.В.ОД.6 Проблемы теории государства и права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4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93A08" w:rsidTr="00B93A08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Планируемые результаты </w:t>
            </w:r>
            <w:proofErr w:type="gramStart"/>
            <w:r>
              <w:rPr>
                <w:rFonts w:ascii="Calibri" w:eastAsia="Times New Roman" w:hAnsi="Calibri"/>
              </w:rPr>
              <w:t>обучения по дисциплине</w:t>
            </w:r>
            <w:proofErr w:type="gramEnd"/>
            <w:r>
              <w:rPr>
                <w:rFonts w:ascii="Calibri" w:eastAsia="Times New Roman" w:hAnsi="Calibri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Формируемые компетенции</w:t>
            </w:r>
          </w:p>
        </w:tc>
      </w:tr>
      <w:tr w:rsidR="00B93A08" w:rsidTr="00B93A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Знать:</w:t>
            </w:r>
            <w:r>
              <w:rPr>
                <w:rFonts w:ascii="Calibri" w:eastAsia="Times New Roman" w:hAnsi="Calibri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ascii="Calibri" w:eastAsia="Times New Roman" w:hAnsi="Calibri"/>
              </w:rPr>
              <w:t>обучающийся</w:t>
            </w:r>
            <w:proofErr w:type="gramEnd"/>
            <w:r>
              <w:rPr>
                <w:rFonts w:ascii="Calibri" w:eastAsia="Times New Roman" w:hAnsi="Calibri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Уметь:</w:t>
            </w:r>
            <w:r>
              <w:rPr>
                <w:rFonts w:ascii="Calibri" w:eastAsia="Times New Roman" w:hAnsi="Calibri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Владеть:</w:t>
            </w:r>
            <w:r>
              <w:rPr>
                <w:rFonts w:ascii="Calibri" w:eastAsia="Times New Roman" w:hAnsi="Calibri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</w:t>
            </w:r>
            <w:r>
              <w:rPr>
                <w:rFonts w:ascii="Calibri" w:eastAsia="Times New Roman" w:hAnsi="Calibri"/>
              </w:rPr>
              <w:lastRenderedPageBreak/>
              <w:t>профессиональных задач по результативному формированию личности обучающегося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lastRenderedPageBreak/>
              <w:t>ОК-1 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t>4 Структура и содержание дисциплины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(108 академических часов)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.</w:t>
      </w:r>
    </w:p>
    <w:tbl>
      <w:tblPr>
        <w:tblpPr w:leftFromText="180" w:rightFromText="180" w:vertAnchor="text" w:horzAnchor="margin" w:tblpXSpec="center" w:tblpY="111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B93A08" w:rsidTr="00B93A08">
        <w:trPr>
          <w:tblHeader/>
        </w:trPr>
        <w:tc>
          <w:tcPr>
            <w:tcW w:w="7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 Трудоемкость,</w:t>
            </w:r>
          </w:p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академических часов</w:t>
            </w:r>
          </w:p>
        </w:tc>
      </w:tr>
      <w:tr w:rsidR="00B93A08" w:rsidTr="00B93A08">
        <w:trPr>
          <w:tblHeader/>
        </w:trPr>
        <w:tc>
          <w:tcPr>
            <w:tcW w:w="7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rPr>
                <w:rFonts w:ascii="Calibri" w:eastAsia="Times New Roman" w:hAnsi="Calibri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всего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108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35,25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35,25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18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0,25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72,75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72,75</w:t>
            </w:r>
          </w:p>
        </w:tc>
      </w:tr>
      <w:tr w:rsidR="00B93A08" w:rsidTr="00B93A08"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подготовка к практическим занятиям;</w:t>
            </w:r>
          </w:p>
          <w:p w:rsidR="00333814" w:rsidRDefault="00333814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>-выполнение эссе</w:t>
            </w:r>
          </w:p>
          <w:p w:rsidR="002B4003" w:rsidRDefault="002B4003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>-подготовка сообщений</w:t>
            </w:r>
          </w:p>
          <w:p w:rsidR="002B4003" w:rsidRDefault="002B4003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>-выполнение индивидуальных творческих заданий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подготовка к коллоквиумам;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подготовка к рубежному контролю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i/>
              </w:rPr>
            </w:pP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lastRenderedPageBreak/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>
        <w:rPr>
          <w:rFonts w:ascii="Times New Roman" w:hAnsi="Times New Roman" w:cs="Times New Roman"/>
          <w:sz w:val="28"/>
          <w:szCs w:val="28"/>
        </w:rPr>
        <w:t>ф</w:t>
      </w:r>
      <w:r w:rsidR="00E548E6">
        <w:rPr>
          <w:rFonts w:ascii="Times New Roman" w:hAnsi="Times New Roman" w:cs="Times New Roman"/>
          <w:sz w:val="28"/>
          <w:szCs w:val="28"/>
        </w:rPr>
        <w:t>ского мышления,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lastRenderedPageBreak/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рактер. Это определяется впечатлением о внутренней структуре текста.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</w:t>
      </w:r>
      <w:r w:rsidRPr="009F2D05">
        <w:rPr>
          <w:sz w:val="28"/>
          <w:szCs w:val="27"/>
          <w:shd w:val="clear" w:color="auto" w:fill="FEFEFE"/>
        </w:rPr>
        <w:lastRenderedPageBreak/>
        <w:t>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lastRenderedPageBreak/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сивов имеет свои преимущества в эффективности обучения за счет активизации </w:t>
      </w:r>
      <w:r w:rsidR="00345519">
        <w:rPr>
          <w:sz w:val="27"/>
          <w:szCs w:val="27"/>
        </w:rPr>
        <w:lastRenderedPageBreak/>
        <w:t>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B4003" w:rsidRPr="00972AEC" w:rsidRDefault="002B400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lastRenderedPageBreak/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lastRenderedPageBreak/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Крюков, В.В.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В.В. Крюков. - 3-е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 - Новос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бирск : НГТУ, 2014. - 212 с. - (Учебники НГТУ). - ISBN 978-5-7782-2327-1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тронный ресурс]. - URL: </w:t>
      </w:r>
      <w:hyperlink r:id="rId8" w:history="1">
        <w:r>
          <w:rPr>
            <w:rStyle w:val="ac"/>
            <w:sz w:val="24"/>
            <w:szCs w:val="24"/>
          </w:rPr>
          <w:t>http://biblioclub.ru/index.php?page=book&amp;id=436247</w:t>
        </w:r>
      </w:hyperlink>
      <w:r>
        <w:rPr>
          <w:sz w:val="24"/>
          <w:szCs w:val="24"/>
        </w:rPr>
        <w:t xml:space="preserve">.  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под ред. В.П. </w:t>
      </w:r>
      <w:proofErr w:type="spellStart"/>
      <w:r>
        <w:rPr>
          <w:sz w:val="24"/>
          <w:szCs w:val="24"/>
        </w:rPr>
        <w:t>Ратникова</w:t>
      </w:r>
      <w:proofErr w:type="spellEnd"/>
      <w:r>
        <w:rPr>
          <w:sz w:val="24"/>
          <w:szCs w:val="24"/>
        </w:rPr>
        <w:t xml:space="preserve"> ; Финансовый университет при Правительстве Российской Федерации. - 6-е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Москва : ЮНИТИ-ДАНА, 2015. - 671 с. - (Золотой фонд российских учебников).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978-5-238-02531-5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http://biblioclub.ru/index.php?page=book&amp;id=446491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, В.М.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: в 2-х ч. / В.М. </w:t>
      </w: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. - 2-е изд. -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1. История философии. - 359 с. - ISBN 978-5-4458-3483-0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http://biblioclub.ru/index.php?page=book&amp;id=210650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Философия: учебное пособие / Н.П. Коновалова, Т.С. 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>, Р.В. </w:t>
      </w:r>
      <w:proofErr w:type="spellStart"/>
      <w:r>
        <w:rPr>
          <w:sz w:val="24"/>
          <w:szCs w:val="24"/>
        </w:rPr>
        <w:t>Алашеева</w:t>
      </w:r>
      <w:proofErr w:type="spellEnd"/>
      <w:r>
        <w:rPr>
          <w:sz w:val="24"/>
          <w:szCs w:val="24"/>
        </w:rPr>
        <w:t>,  и др.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Министерство образования и науки Российской Федерации, Уральский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университет им. первого Президента России Б. Н. Ельцина. - Екатеринбург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 Уральского университета, 2014. - 216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табл., схем. - ISBN 978-5-7996-1162-0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http://biblioclub.ru/index.php?page=book&amp;id=275803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Колесникова, И.В. Философия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зовательное учреждение высшего образования «Оренбургский государственный универс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тет». - Оренбург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ОГУ, 2016. - 108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90-95. - ISBN 978-5-7410-1603-9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 </w:t>
      </w:r>
      <w:hyperlink r:id="rId12" w:history="1">
        <w:r>
          <w:rPr>
            <w:rStyle w:val="ac"/>
            <w:sz w:val="23"/>
            <w:szCs w:val="23"/>
          </w:rPr>
          <w:t>http://biblioclub.ru/index.php?page=book&amp;id=485358</w:t>
        </w:r>
      </w:hyperlink>
      <w: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5.4 Интернет-ресурсы</w:t>
      </w:r>
    </w:p>
    <w:p w:rsidR="00297D75" w:rsidRPr="00BE0DFA" w:rsidRDefault="00297D75" w:rsidP="00297D75">
      <w:pPr>
        <w:pStyle w:val="ReportMain"/>
        <w:suppressAutoHyphens/>
        <w:ind w:firstLine="709"/>
        <w:jc w:val="both"/>
      </w:pPr>
      <w:r w:rsidRPr="00BE0DFA">
        <w:t xml:space="preserve">1 </w:t>
      </w:r>
      <w:hyperlink r:id="rId13" w:history="1">
        <w:r>
          <w:rPr>
            <w:rStyle w:val="ac"/>
            <w:lang w:val="en-US"/>
          </w:rPr>
          <w:t>http</w:t>
        </w:r>
        <w:r w:rsidRPr="00BE0DFA"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 w:rsidRPr="00BE0DFA">
          <w:rPr>
            <w:rStyle w:val="ac"/>
          </w:rPr>
          <w:t>.</w:t>
        </w:r>
        <w:r>
          <w:rPr>
            <w:rStyle w:val="ac"/>
            <w:lang w:val="en-US"/>
          </w:rPr>
          <w:t>philosophy</w:t>
        </w:r>
        <w:r w:rsidRPr="00BE0DFA"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 w:rsidRPr="00BE0DFA">
          <w:rPr>
            <w:rStyle w:val="ac"/>
          </w:rPr>
          <w:t>/</w:t>
        </w:r>
      </w:hyperlink>
      <w:r w:rsidRPr="00BE0DFA">
        <w:t xml:space="preserve"> - </w:t>
      </w:r>
      <w:r>
        <w:t>сайт</w:t>
      </w:r>
      <w:r w:rsidRPr="00BE0DFA">
        <w:t xml:space="preserve"> «</w:t>
      </w:r>
      <w:r>
        <w:rPr>
          <w:lang w:val="en-US"/>
        </w:rPr>
        <w:t>PHILOSOPHY</w:t>
      </w:r>
      <w:r w:rsidRPr="00BE0DFA">
        <w:t>.</w:t>
      </w:r>
      <w:r>
        <w:rPr>
          <w:lang w:val="en-US"/>
        </w:rPr>
        <w:t>RU</w:t>
      </w:r>
      <w:r w:rsidRPr="00BE0DFA">
        <w:t>»</w:t>
      </w:r>
    </w:p>
    <w:p w:rsidR="00297D75" w:rsidRDefault="00297D75" w:rsidP="00297D75">
      <w:pPr>
        <w:pStyle w:val="ReportMain"/>
        <w:suppressAutoHyphens/>
        <w:ind w:firstLine="709"/>
        <w:jc w:val="both"/>
      </w:pPr>
      <w:r>
        <w:lastRenderedPageBreak/>
        <w:t xml:space="preserve">2 </w:t>
      </w:r>
      <w:hyperlink r:id="rId14" w:history="1">
        <w:r>
          <w:rPr>
            <w:rStyle w:val="ac"/>
          </w:rPr>
          <w:t>http://filosof.historic.ru/</w:t>
        </w:r>
      </w:hyperlink>
      <w:r>
        <w:t xml:space="preserve"> - цифровая библиотека по философии.</w:t>
      </w:r>
    </w:p>
    <w:p w:rsidR="00297D75" w:rsidRDefault="00297D75" w:rsidP="00297D75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 </w:t>
      </w:r>
      <w:hyperlink r:id="rId15" w:history="1">
        <w:r>
          <w:rPr>
            <w:rStyle w:val="ac"/>
            <w:szCs w:val="24"/>
          </w:rPr>
          <w:t>http://www.vehi.net/index.html</w:t>
        </w:r>
      </w:hyperlink>
      <w:r>
        <w:rPr>
          <w:szCs w:val="24"/>
        </w:rPr>
        <w:t xml:space="preserve"> - </w:t>
      </w:r>
      <w:hyperlink r:id="rId16" w:tgtFrame="_blank" w:history="1">
        <w:r>
          <w:rPr>
            <w:rStyle w:val="ac"/>
            <w:bCs/>
            <w:szCs w:val="24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Office</w:t>
      </w:r>
      <w:proofErr w:type="spellEnd"/>
      <w:r>
        <w:rPr>
          <w:szCs w:val="24"/>
        </w:rPr>
        <w:t xml:space="preserve"> 2007 (лицензия по договору № ПО/8-12 от 28.02.2012 г.)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2.  </w:t>
      </w:r>
      <w:proofErr w:type="spellStart"/>
      <w:r>
        <w:rPr>
          <w:szCs w:val="24"/>
        </w:rPr>
        <w:t>Веб-приложение</w:t>
      </w:r>
      <w:proofErr w:type="spellEnd"/>
      <w:r>
        <w:rPr>
          <w:szCs w:val="24"/>
        </w:rPr>
        <w:t xml:space="preserve"> «Универсальная система тестирования  БГТИ»  </w:t>
      </w:r>
    </w:p>
    <w:p w:rsidR="00972AEC" w:rsidRDefault="00297D75" w:rsidP="00297D75">
      <w:pPr>
        <w:pStyle w:val="Default"/>
        <w:spacing w:line="276" w:lineRule="auto"/>
        <w:ind w:firstLine="567"/>
        <w:jc w:val="both"/>
      </w:pPr>
      <w:r>
        <w:t xml:space="preserve">3. </w:t>
      </w:r>
      <w:hyperlink r:id="rId17" w:history="1">
        <w:r>
          <w:rPr>
            <w:rStyle w:val="ac"/>
          </w:rPr>
          <w:t>https://iphras.ru/</w:t>
        </w:r>
      </w:hyperlink>
      <w:r>
        <w:t xml:space="preserve"> - институт философии Российской Академии</w:t>
      </w: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A5" w:rsidRDefault="001E4BA5" w:rsidP="00817BE6">
      <w:pPr>
        <w:spacing w:after="0" w:line="240" w:lineRule="auto"/>
      </w:pPr>
      <w:r>
        <w:separator/>
      </w:r>
    </w:p>
  </w:endnote>
  <w:end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1E4BA5" w:rsidRDefault="006C2EFA">
        <w:pPr>
          <w:pStyle w:val="a7"/>
          <w:jc w:val="center"/>
        </w:pPr>
        <w:fldSimple w:instr="PAGE   \* MERGEFORMAT">
          <w:r w:rsidR="00E254C1">
            <w:rPr>
              <w:noProof/>
            </w:rPr>
            <w:t>4</w:t>
          </w:r>
        </w:fldSimple>
      </w:p>
    </w:sdtContent>
  </w:sdt>
  <w:p w:rsidR="001E4BA5" w:rsidRDefault="001E4B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A5" w:rsidRDefault="001E4BA5" w:rsidP="00817BE6">
      <w:pPr>
        <w:spacing w:after="0" w:line="240" w:lineRule="auto"/>
      </w:pPr>
      <w:r>
        <w:separator/>
      </w:r>
    </w:p>
  </w:footnote>
  <w:foot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9A6"/>
    <w:rsid w:val="000C51FE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424BE"/>
    <w:rsid w:val="00252D95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72F64"/>
    <w:rsid w:val="00383876"/>
    <w:rsid w:val="00387003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6682C"/>
    <w:rsid w:val="00683D2C"/>
    <w:rsid w:val="006908BD"/>
    <w:rsid w:val="00694DBB"/>
    <w:rsid w:val="00695993"/>
    <w:rsid w:val="006A190D"/>
    <w:rsid w:val="006C2EFA"/>
    <w:rsid w:val="006C49F0"/>
    <w:rsid w:val="006E187B"/>
    <w:rsid w:val="00706D83"/>
    <w:rsid w:val="007237BD"/>
    <w:rsid w:val="00771419"/>
    <w:rsid w:val="007753B4"/>
    <w:rsid w:val="00794F7C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57964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42A48"/>
    <w:rsid w:val="00950D14"/>
    <w:rsid w:val="0095387D"/>
    <w:rsid w:val="009708BE"/>
    <w:rsid w:val="00972AEC"/>
    <w:rsid w:val="009A2754"/>
    <w:rsid w:val="009C3876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C1419"/>
    <w:rsid w:val="00AF3812"/>
    <w:rsid w:val="00AF726C"/>
    <w:rsid w:val="00B07C18"/>
    <w:rsid w:val="00B212B6"/>
    <w:rsid w:val="00B37660"/>
    <w:rsid w:val="00B55747"/>
    <w:rsid w:val="00B70C03"/>
    <w:rsid w:val="00B7266B"/>
    <w:rsid w:val="00B80AC3"/>
    <w:rsid w:val="00B93A08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53504"/>
    <w:rsid w:val="00C57AA9"/>
    <w:rsid w:val="00C70920"/>
    <w:rsid w:val="00C83122"/>
    <w:rsid w:val="00C92FDE"/>
    <w:rsid w:val="00CA2AEC"/>
    <w:rsid w:val="00CA3E82"/>
    <w:rsid w:val="00CE2CD7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254C1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4392"/>
    <w:rsid w:val="00F1559F"/>
    <w:rsid w:val="00F46FAD"/>
    <w:rsid w:val="00F919E3"/>
    <w:rsid w:val="00FA0F7E"/>
    <w:rsid w:val="00FC5FB3"/>
    <w:rsid w:val="00FD2DCC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247" TargetMode="External"/><Relationship Id="rId13" Type="http://schemas.openxmlformats.org/officeDocument/2006/relationships/hyperlink" Target="http://www.philosoph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5358" TargetMode="External"/><Relationship Id="rId17" Type="http://schemas.openxmlformats.org/officeDocument/2006/relationships/hyperlink" Target="https://iph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hi.net/index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2106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91" TargetMode="External"/><Relationship Id="rId14" Type="http://schemas.openxmlformats.org/officeDocument/2006/relationships/hyperlink" Target="http://filosof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0B499-9033-4734-A4AA-BA1AE085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28</Pages>
  <Words>8606</Words>
  <Characters>49057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69</cp:revision>
  <dcterms:created xsi:type="dcterms:W3CDTF">2016-10-09T16:26:00Z</dcterms:created>
  <dcterms:modified xsi:type="dcterms:W3CDTF">2019-03-03T07:34:00Z</dcterms:modified>
</cp:coreProperties>
</file>