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1413">
        <w:rPr>
          <w:i/>
          <w:sz w:val="24"/>
        </w:rPr>
        <w:t>Б.1.В.ОД.10 Флора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91FB9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527892">
        <w:rPr>
          <w:sz w:val="24"/>
        </w:rPr>
        <w:t>20</w:t>
      </w:r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Флора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</w:t>
      </w:r>
      <w:r w:rsidR="00527892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527892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51413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51413" w:rsidRPr="00951413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24492" w:rsidRDefault="0082449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16B9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16B9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16B9E" w:rsidRDefault="00611364" w:rsidP="00051E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A16B9E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051E9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271D35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7416" w:rsidRPr="00A16B9E" w:rsidTr="001956A5">
        <w:tc>
          <w:tcPr>
            <w:tcW w:w="1101" w:type="dxa"/>
          </w:tcPr>
          <w:p w:rsidR="00367416" w:rsidRPr="00A16B9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16B9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16B9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16B9E" w:rsidRDefault="00271D35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16B9E" w:rsidRDefault="00824492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271D35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92" w:rsidRDefault="00824492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92" w:rsidRDefault="00824492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Цель</w:t>
      </w:r>
      <w:r w:rsidRPr="0095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13">
        <w:rPr>
          <w:rFonts w:ascii="Times New Roman" w:hAnsi="Times New Roman" w:cs="Times New Roman"/>
          <w:sz w:val="28"/>
          <w:szCs w:val="28"/>
        </w:rPr>
        <w:t>освоения дисциплины: изучение многообразия растительного мира Оренбургской области, строение и жизнедеятельность, связь со средой обитания, закономерности индивидуального и исторического развития, особенности биологии и экологии</w:t>
      </w:r>
      <w:r w:rsidRPr="00951413">
        <w:rPr>
          <w:rFonts w:ascii="Times New Roman" w:hAnsi="Times New Roman" w:cs="Times New Roman"/>
          <w:i/>
          <w:sz w:val="28"/>
          <w:szCs w:val="28"/>
        </w:rPr>
        <w:t>.</w:t>
      </w:r>
    </w:p>
    <w:p w:rsidR="00951413" w:rsidRPr="00951413" w:rsidRDefault="00951413" w:rsidP="00BB67D6">
      <w:pPr>
        <w:pStyle w:val="ReportMain"/>
        <w:suppressAutoHyphens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951413">
        <w:rPr>
          <w:sz w:val="28"/>
          <w:szCs w:val="28"/>
        </w:rPr>
        <w:t xml:space="preserve">Задачи: </w:t>
      </w:r>
    </w:p>
    <w:p w:rsidR="00BB67D6" w:rsidRPr="00BB67D6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sz w:val="28"/>
          <w:szCs w:val="28"/>
        </w:rPr>
        <w:t>- изучить низшие растения,</w:t>
      </w:r>
      <w:r w:rsidR="00824492">
        <w:rPr>
          <w:rFonts w:ascii="Times New Roman" w:hAnsi="Times New Roman" w:cs="Times New Roman"/>
          <w:sz w:val="28"/>
          <w:szCs w:val="28"/>
        </w:rPr>
        <w:t xml:space="preserve"> </w:t>
      </w:r>
      <w:r w:rsidRPr="00BB67D6">
        <w:rPr>
          <w:rFonts w:ascii="Times New Roman" w:hAnsi="Times New Roman" w:cs="Times New Roman"/>
          <w:sz w:val="28"/>
          <w:szCs w:val="28"/>
        </w:rPr>
        <w:t xml:space="preserve">грибы, высшие </w:t>
      </w:r>
      <w:proofErr w:type="gramStart"/>
      <w:r w:rsidRPr="00BB67D6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BB67D6">
        <w:rPr>
          <w:rFonts w:ascii="Times New Roman" w:hAnsi="Times New Roman" w:cs="Times New Roman"/>
          <w:sz w:val="28"/>
          <w:szCs w:val="28"/>
        </w:rPr>
        <w:t xml:space="preserve"> произрастающие</w:t>
      </w:r>
      <w:r w:rsidR="00824492">
        <w:rPr>
          <w:rFonts w:ascii="Times New Roman" w:hAnsi="Times New Roman" w:cs="Times New Roman"/>
          <w:sz w:val="28"/>
          <w:szCs w:val="28"/>
        </w:rPr>
        <w:t xml:space="preserve"> на территории  Орен</w:t>
      </w:r>
      <w:r w:rsidRPr="00BB67D6">
        <w:rPr>
          <w:rFonts w:ascii="Times New Roman" w:hAnsi="Times New Roman" w:cs="Times New Roman"/>
          <w:sz w:val="28"/>
          <w:szCs w:val="28"/>
        </w:rPr>
        <w:t>бургской области, выявить их значение в деятельности человека и экологии;</w:t>
      </w:r>
    </w:p>
    <w:p w:rsidR="00D300B3" w:rsidRPr="00643869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sz w:val="24"/>
        </w:rPr>
      </w:pPr>
      <w:r w:rsidRPr="00BB67D6">
        <w:rPr>
          <w:rFonts w:ascii="Times New Roman" w:hAnsi="Times New Roman" w:cs="Times New Roman"/>
          <w:sz w:val="28"/>
          <w:szCs w:val="28"/>
        </w:rPr>
        <w:t>- получить навыки анализа информации, полученной в результате 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191FB9" w:rsidRPr="00191FB9" w:rsidTr="00191FB9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191FB9" w:rsidRPr="00191FB9" w:rsidTr="00191FB9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17,25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11,5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28,75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FB9" w:rsidRPr="00191FB9" w:rsidTr="00191FB9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191FB9" w:rsidRPr="00191FB9" w:rsidTr="00191FB9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90,75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60,5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151,25</w:t>
            </w:r>
          </w:p>
        </w:tc>
      </w:tr>
      <w:tr w:rsidR="00191FB9" w:rsidRPr="00191FB9" w:rsidTr="00191FB9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91FB9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 материала учебников и учебных пособий;</w:t>
            </w:r>
          </w:p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91FB9">
              <w:rPr>
                <w:rFonts w:ascii="Times New Roman" w:hAnsi="Times New Roman" w:cs="Times New Roman"/>
                <w:i/>
                <w:sz w:val="24"/>
              </w:rPr>
              <w:t xml:space="preserve"> 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</w:rPr>
              <w:t>диф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</w:rPr>
              <w:t>зач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FB9" w:rsidRDefault="00191FB9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051E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051E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051E9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практических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51413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191FB9" w:rsidRDefault="00191FB9" w:rsidP="00191FB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Седьмой </w:t>
      </w:r>
      <w:r w:rsidR="00951413" w:rsidRPr="00191FB9">
        <w:rPr>
          <w:rFonts w:ascii="Times New Roman" w:hAnsi="Times New Roman" w:cs="Times New Roman"/>
          <w:sz w:val="28"/>
          <w:szCs w:val="28"/>
        </w:rPr>
        <w:t>семестр</w:t>
      </w:r>
    </w:p>
    <w:p w:rsidR="00951413" w:rsidRPr="00951413" w:rsidRDefault="00951413" w:rsidP="00951413">
      <w:pPr>
        <w:pStyle w:val="a3"/>
        <w:numPr>
          <w:ilvl w:val="0"/>
          <w:numId w:val="27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51413" w:rsidRPr="00951413" w:rsidRDefault="00951413" w:rsidP="00951413">
      <w:p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1413">
        <w:rPr>
          <w:rFonts w:ascii="Times New Roman" w:hAnsi="Times New Roman" w:cs="Times New Roman"/>
          <w:sz w:val="28"/>
          <w:szCs w:val="28"/>
        </w:rPr>
        <w:t>Географическое положение и геологическое строение Оренбургской области.</w:t>
      </w:r>
    </w:p>
    <w:p w:rsidR="00951413" w:rsidRPr="0095141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Вольвоксовые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Хламидомонады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Вольвокс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Хлорелла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Улотриксовые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Улотрикс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Зигнемовые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Харовые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инезелёные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Организация  таллома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синезелёных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водорослей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Эвглены зелёной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Euglena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viridis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Paramecium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caudatum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Синхитриум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Ольпидиум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Оомицеты(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Пероноспоровые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Фитофтора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Альбуго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Зигомицеты(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Мукоровые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Аскомицеты(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подкласса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Голосумчатые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Эндомицетовые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ахаромицес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подкласса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Эуаскомицеты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порынья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морчок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>торчок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трутовиковые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Пластинчатые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Шампиньоновые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Сыроежковые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Мухоморовые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 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Ржавчинные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proofErr w:type="spellEnd"/>
      <w:r w:rsidRPr="00E817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Ядро как хранитель наследственной информации.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Строение и классификация грибного таллома.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Основы ботанической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микротехники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Вольвокс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Вёшенка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Съедобные и не съедобные грибы.</w:t>
      </w:r>
    </w:p>
    <w:p w:rsidR="0095141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951413" w:rsidRPr="00DF42CD" w:rsidRDefault="00951413" w:rsidP="00951413">
      <w:pPr>
        <w:pStyle w:val="a3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13" w:rsidRDefault="00951413" w:rsidP="00951413">
      <w:pPr>
        <w:spacing w:after="0" w:line="360" w:lineRule="auto"/>
        <w:ind w:left="-567"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proofErr w:type="spellStart"/>
      <w:r w:rsidR="00191FB9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gramStart"/>
      <w:r w:rsidR="00191FB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191FB9">
        <w:rPr>
          <w:rFonts w:ascii="Times New Roman" w:eastAsia="Times New Roman" w:hAnsi="Times New Roman" w:cs="Times New Roman"/>
          <w:sz w:val="28"/>
          <w:szCs w:val="28"/>
        </w:rPr>
        <w:t>ачёту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5131DA" w:rsidRDefault="00191FB9" w:rsidP="00951413">
      <w:pPr>
        <w:spacing w:after="0" w:line="360" w:lineRule="auto"/>
        <w:ind w:left="-567" w:right="-14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 xml:space="preserve">  семестр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полярность, конвергенция, корреляция, редукция, гомология и аналогия.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низших. Гипотезы происхождения высших растений.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3 Лист, его функции. Заложение и развитие листовых зачатков, их верхушечный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интеркалярный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рост. Морфологические особенности листа.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 Особенности бесполого размножения высших растений. Спорангии, их строение и расположение.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9 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Общая морфолого-анатомическая характеристика.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антоцеротовые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Маршанция как представитель класс печеночни</w:t>
      </w:r>
      <w:r>
        <w:rPr>
          <w:rFonts w:ascii="Times New Roman" w:hAnsi="Times New Roman" w:cs="Times New Roman"/>
          <w:sz w:val="28"/>
          <w:szCs w:val="28"/>
        </w:rPr>
        <w:t>ков, ее строе</w:t>
      </w:r>
      <w:r w:rsidRPr="00650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DC3">
        <w:rPr>
          <w:rFonts w:ascii="Times New Roman" w:hAnsi="Times New Roman" w:cs="Times New Roman"/>
          <w:sz w:val="28"/>
          <w:szCs w:val="28"/>
        </w:rPr>
        <w:t xml:space="preserve">е и размножение. Листостебельные печеночники.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Класс листостебельные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Подкласс сфагновые мхи. Сфагнум, его строение, размножение, роль в природе, хозяйственное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Класс листостебельные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Подкласс Зеленые мхи. Кукушкин лен, его строение, размножение роль в природе.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Современные представления о происхождении и эволюции отдела.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(псилофиты). Общая морфолого-анатомическая характеристика, особенности размножения, филогенетические связи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(псилофиты).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как древнейший представитель наземной флоры. Общая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Микрофиллия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Особенности жизненных циклов.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строение заростков. Разделение отдела на классы.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Морфолого-анатомическая характеристика, особенности размножения его представителей.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Полушниковые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Селагинелла. Ее морфолого-анатомические особенности. Размножение.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Хвощевидные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Хвощ как представитель класса Хвощевых, его морфолого-анатомическая характеристика, особенности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Ископаемые хвощевидные. Особенности их строения. Их значение в эволюции растительности Земли.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Псилотовидные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 его представителей.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Макрофиллия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лептоспорангиатность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спорангиев и сорусов.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Синангии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протоптеридиевые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Протоптеридиум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археоптерис, особенности их строения и филогенетическое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Папоротнриковидные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ужовниковые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 его представителей и особенности их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полиподиопсиды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характеристика, особенности размножения на примере щитовника или орляка.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Полиподиопсиды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Разноспоровые папоротники.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Марсилия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Сальвиния, общая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Семенные папоротники. Общая характеристика. Строение и происхождение семязачатка. Филогенетическое значение отдела.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Вероятное происхождение.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Микр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мегастробилы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Семязачаток, его строение, расположение.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Синангиальная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гипотеза происхождения семязачатка. Редукция заростков. Типы мужских гамет. Особенности опыления и оплодотворения.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Сосна как представитель класса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женской шишки. Строение семязачатка.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Развитие женского гаметофита. Опыление, оплодотворение. Развитие зародыша и семени.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Сосна как представитель класса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мужской шишки.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развитие мужского гаметофита. Мужские гаметы.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в хозяйственной деятельности населения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Происхождение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экологическая пластичность.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двудольных и однодольных, их сравнительная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Цветок как характерный признак отдела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цветка, взгляды на его происхождение.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Особенности строения и развития околоцветника. Его функции. Симметрия цветка.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Андроцей, разнообразие его строения. Тычинка как микроспорофилл. Развитие пыльника.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Микроспорагенез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развитие и строение мужского гаметофита.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Гинецей. Типы его строения. Строение пестика. Биологическое значение завязи. Расположение семязачатков.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Стилодии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столбики.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Строение семязачатков покрытосеменного растения.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развитие женского гаметофита. Особенности оплодотворения, развитие зародыша и эндосперма.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Развитие семени и плода. Типы строения семян. Строение околоплодника. Способы распространения плодов и семян.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Плод. Морфологическое разнообразие плодов, принципы их классификации.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Расположение цветков на растении. Соцветия, их типы. Значение соцветий.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Перекрестное опыление покрытосеменных растений и приспособления для его осуществления. Дихогамия и гетеростилия. Самоопыление.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Цветение и опыление покрытосеменных растений. Приспособления к разным способам опыления. Лабильность опыления.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46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Гречишные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Таксономическое положение. Эволюция цветка в семействе, строение плодов. Важнейшие представители семейства.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47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характеристика.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48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Анатомо-морфологические и биологические особенности.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C3">
        <w:rPr>
          <w:rFonts w:ascii="Times New Roman" w:hAnsi="Times New Roman" w:cs="Times New Roman"/>
          <w:sz w:val="28"/>
          <w:szCs w:val="28"/>
        </w:rPr>
        <w:t>49 Семейство Вересковые (вкл.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Грушанковые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Брусничные).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Общая характеристика. Важнейшие морфологические и биологические особенности.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50 Характеристика видов Вересковых, произрастающих в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51 Порядок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Колокольчикоцветные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Колокольчиковые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Разнообразие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сложноцветных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Механизм опыления цветков у разных представителей порядка.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A16B9E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53 Класс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Однодольные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характеристика, эволюционные взаимоотношения 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двудольными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54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Осоковые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55 Семейство Злаки. Анатомо-морфологические и биологические особенности. Строение и происхождение цветка. Строение зародыша.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56 Разнообразие злаков. Важнейшие представители. Роль злаков в природе, их значение для человека.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57 Порядок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Трубкоцветные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Lamiales</w:t>
      </w:r>
      <w:proofErr w:type="spellEnd"/>
      <w:r w:rsidRPr="007C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sensu</w:t>
      </w:r>
      <w:proofErr w:type="spellEnd"/>
      <w:r w:rsidRPr="007C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lato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).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Норичниковые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Губоцветные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Черты сходства и различия между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Губоцветными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Бурачниковыми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характеризуйте основные виды степей Оренбургской области. </w:t>
      </w:r>
    </w:p>
    <w:p w:rsidR="00951413" w:rsidRPr="00951413" w:rsidRDefault="00951413" w:rsidP="0082449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60 Исчезающие и редкие виды, занесённые в красную книгу Оренбургской области.</w:t>
      </w:r>
    </w:p>
    <w:p w:rsidR="005F1556" w:rsidRPr="00951413" w:rsidRDefault="00824492" w:rsidP="00951413">
      <w:pPr>
        <w:pStyle w:val="ReportMain"/>
        <w:widowControl w:val="0"/>
        <w:spacing w:line="360" w:lineRule="auto"/>
        <w:ind w:left="-567" w:right="-143"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951413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951413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Биология размножения и развития: учебное пособие [Электронный ресурс]. / В.П. Викторов, В.Н. Годин, Н.М.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Московский педагогический государственный университет.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МПГУ, 2016. – Ч. 1. Бактерии. Грибы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лишайники. Растения. – 160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–ISBN 978-5-4263-0414-7. - Режим доступа: </w:t>
      </w:r>
      <w:hyperlink r:id="rId9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http://biblioclub.ru/index.php?page=book&amp;id=471783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Пятунина, С.К. Ботаника. Систематика растений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[Электронный ресурс]. / С.К. Пятунина, Н.М.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Прометей, 2013. - 124 с. - ISBN 978-5-7042-2473-0.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http://biblioclub.ru/index.php?page=book&amp;id=240522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B6D" w:rsidRDefault="00824492" w:rsidP="007F3B6D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3B6D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Паутов, А.А. Размножение растений: учебник [Электронный ресурс].  / А.А. Паутов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Санкт-Петербургский государственный университет. – Санкт-Петербург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Санкт-Петербургского Государственного Университета, 2013. – 164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(Ботаника). - ISBN 978-5-288-05467-9. – Режим доступа: </w:t>
      </w:r>
      <w:hyperlink r:id="rId11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http://biblioclub.ru/index.php?page=book&amp;id=458094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Мохообразные окрестностей биологической станции Уральского федерального университета / сост. А.Г. Пауков, И.Л. Гольдберг,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Тептина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науч. ред. В.А. Мухин и др. – Екатеринбург : Издательство Уральского университета, 2014. – 189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ISBN 978-5-7996-1128-6. – Режим доступа: </w:t>
      </w:r>
      <w:hyperlink r:id="rId12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http://biblioclub.ru/index.php?page=book&amp;id=275939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М.А. Анатомия растений: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/ М.А.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В.П. Викторов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Московский педагогический государственный университет.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МПГУ, 2015. – Ч. 1. Клетка. Ткани. – 120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ISBN 978-5-4263-0239-6. - Режим доступа: </w:t>
      </w:r>
      <w:hyperlink r:id="rId13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http://biblioclub.ru/index.php?page=book&amp;id=472836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Жизнь растений в 6 томах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 / гл. ред. Ал. А. Федоров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 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Москва : Просвещение, 1974.</w:t>
      </w:r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Нейштадт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М.И. Определитель растений средней полосы Европейской части СССР [Электронный ресурс]. / М.И.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Нейштадт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- 4-е изд.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учебно-педагогическое издательство, 1954. - 510 с. - (Библиотека учителя). - ISBN 978-5-4458-7048-7.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4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http://biblioclub.ru/index.php?page=book&amp;id=228696</w:t>
        </w:r>
      </w:hyperlink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Географический атлас Оренбургской области [Текст]  / науч. ред. и сост.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Чибилев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ДИК, 1999; 1999. - 96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(Российская Академия наук Уральское отделение Институт Степи) - ISBN 5-8213-0041-Х. - ISBN 5-88788-001-5.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Атлас мира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 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Москва : Федеральная служба геодезии и картографии России, 2000. - 72 с.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ил.. - ISBN 5-88590-885-0. - ISBN 5-85576-004-9.</w:t>
      </w:r>
    </w:p>
    <w:p w:rsidR="00DF35C7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1413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ГОУ ОГУ, 2017;</w:t>
      </w:r>
    </w:p>
    <w:p w:rsidR="00DF35C7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- Физиология растений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Наука, 2017.</w:t>
      </w:r>
    </w:p>
    <w:p w:rsidR="00DF35C7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1413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5" w:history="1">
        <w:r w:rsidRPr="00951413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951413" w:rsidRPr="00951413" w:rsidRDefault="00951413" w:rsidP="00951413">
      <w:pPr>
        <w:keepNext/>
        <w:keepLines/>
        <w:suppressAutoHyphens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6" w:history="1">
        <w:r w:rsidRPr="009514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951413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Федеральный портал по </w:t>
      </w:r>
      <w:proofErr w:type="gramStart"/>
      <w:r w:rsidRPr="00951413">
        <w:rPr>
          <w:sz w:val="28"/>
          <w:szCs w:val="28"/>
        </w:rPr>
        <w:t>Естественно-научный</w:t>
      </w:r>
      <w:proofErr w:type="gramEnd"/>
      <w:r w:rsidRPr="00951413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7" w:history="1">
        <w:r w:rsidRPr="00951413">
          <w:rPr>
            <w:rStyle w:val="ac"/>
            <w:sz w:val="28"/>
            <w:szCs w:val="28"/>
          </w:rPr>
          <w:t>http://www.en.edu.ru/</w:t>
        </w:r>
      </w:hyperlink>
      <w:r w:rsidRPr="00951413">
        <w:rPr>
          <w:rFonts w:eastAsia="Times New Roman"/>
          <w:sz w:val="28"/>
          <w:szCs w:val="28"/>
          <w:lang w:eastAsia="ru-RU"/>
        </w:rPr>
        <w:t>.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</w:t>
      </w:r>
      <w:proofErr w:type="spellStart"/>
      <w:r w:rsidRPr="00951413">
        <w:rPr>
          <w:sz w:val="28"/>
          <w:szCs w:val="28"/>
        </w:rPr>
        <w:t>Геопортал</w:t>
      </w:r>
      <w:proofErr w:type="spellEnd"/>
      <w:r w:rsidRPr="00951413">
        <w:rPr>
          <w:sz w:val="28"/>
          <w:szCs w:val="28"/>
        </w:rPr>
        <w:t xml:space="preserve"> </w:t>
      </w:r>
      <w:proofErr w:type="spellStart"/>
      <w:r w:rsidRPr="00951413">
        <w:rPr>
          <w:sz w:val="28"/>
          <w:szCs w:val="28"/>
        </w:rPr>
        <w:t>Южноуралья</w:t>
      </w:r>
      <w:proofErr w:type="spellEnd"/>
      <w:r w:rsidRPr="00951413">
        <w:rPr>
          <w:sz w:val="28"/>
          <w:szCs w:val="28"/>
        </w:rPr>
        <w:t xml:space="preserve">. – Режим доступа:  </w:t>
      </w:r>
      <w:hyperlink r:id="rId18" w:history="1">
        <w:r w:rsidRPr="00951413">
          <w:rPr>
            <w:rStyle w:val="ac"/>
            <w:sz w:val="28"/>
            <w:szCs w:val="28"/>
          </w:rPr>
          <w:t>http://www.uralgeo.net/flora_or.htm</w:t>
        </w:r>
      </w:hyperlink>
      <w:r w:rsidRPr="00951413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B1" w:rsidRDefault="006F7CB1" w:rsidP="00FF0076">
      <w:pPr>
        <w:spacing w:after="0" w:line="240" w:lineRule="auto"/>
      </w:pPr>
      <w:r>
        <w:separator/>
      </w:r>
    </w:p>
  </w:endnote>
  <w:endnote w:type="continuationSeparator" w:id="0">
    <w:p w:rsidR="006F7CB1" w:rsidRDefault="006F7CB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6134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89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B1" w:rsidRDefault="006F7CB1" w:rsidP="00FF0076">
      <w:pPr>
        <w:spacing w:after="0" w:line="240" w:lineRule="auto"/>
      </w:pPr>
      <w:r>
        <w:separator/>
      </w:r>
    </w:p>
  </w:footnote>
  <w:footnote w:type="continuationSeparator" w:id="0">
    <w:p w:rsidR="006F7CB1" w:rsidRDefault="006F7CB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478E9"/>
    <w:rsid w:val="00051E98"/>
    <w:rsid w:val="000B1CE8"/>
    <w:rsid w:val="000E54FF"/>
    <w:rsid w:val="001061E4"/>
    <w:rsid w:val="0014634D"/>
    <w:rsid w:val="00181348"/>
    <w:rsid w:val="00187AA2"/>
    <w:rsid w:val="00191FB9"/>
    <w:rsid w:val="001956A5"/>
    <w:rsid w:val="001A4606"/>
    <w:rsid w:val="001B7D6D"/>
    <w:rsid w:val="001D7187"/>
    <w:rsid w:val="001F7459"/>
    <w:rsid w:val="00212FA0"/>
    <w:rsid w:val="00227CD4"/>
    <w:rsid w:val="00271D35"/>
    <w:rsid w:val="002A0EC5"/>
    <w:rsid w:val="002A3BE7"/>
    <w:rsid w:val="002B7629"/>
    <w:rsid w:val="002D6C9C"/>
    <w:rsid w:val="002E7D03"/>
    <w:rsid w:val="003016E3"/>
    <w:rsid w:val="00307339"/>
    <w:rsid w:val="00355893"/>
    <w:rsid w:val="0036263D"/>
    <w:rsid w:val="00367416"/>
    <w:rsid w:val="003C479D"/>
    <w:rsid w:val="003E5AA1"/>
    <w:rsid w:val="003F234E"/>
    <w:rsid w:val="004355DC"/>
    <w:rsid w:val="00440111"/>
    <w:rsid w:val="004641C1"/>
    <w:rsid w:val="00474DF5"/>
    <w:rsid w:val="00527892"/>
    <w:rsid w:val="005417C3"/>
    <w:rsid w:val="005447C8"/>
    <w:rsid w:val="00573875"/>
    <w:rsid w:val="005C1770"/>
    <w:rsid w:val="005D2BF9"/>
    <w:rsid w:val="005F1556"/>
    <w:rsid w:val="00604D48"/>
    <w:rsid w:val="00611364"/>
    <w:rsid w:val="00650BE3"/>
    <w:rsid w:val="006A5588"/>
    <w:rsid w:val="006F7CB1"/>
    <w:rsid w:val="00733C5E"/>
    <w:rsid w:val="007716C5"/>
    <w:rsid w:val="00773A33"/>
    <w:rsid w:val="007B4C71"/>
    <w:rsid w:val="007E711B"/>
    <w:rsid w:val="007F3B6D"/>
    <w:rsid w:val="00824492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A13035"/>
    <w:rsid w:val="00A16AC9"/>
    <w:rsid w:val="00A16B9E"/>
    <w:rsid w:val="00A17897"/>
    <w:rsid w:val="00A21CD1"/>
    <w:rsid w:val="00A56B18"/>
    <w:rsid w:val="00A923ED"/>
    <w:rsid w:val="00A93D4F"/>
    <w:rsid w:val="00AB286C"/>
    <w:rsid w:val="00AC0588"/>
    <w:rsid w:val="00AF578F"/>
    <w:rsid w:val="00AF6F86"/>
    <w:rsid w:val="00B14114"/>
    <w:rsid w:val="00B14123"/>
    <w:rsid w:val="00B42E2B"/>
    <w:rsid w:val="00B67BE1"/>
    <w:rsid w:val="00B775E4"/>
    <w:rsid w:val="00B81E60"/>
    <w:rsid w:val="00BB4E1C"/>
    <w:rsid w:val="00BB67D6"/>
    <w:rsid w:val="00BB75F1"/>
    <w:rsid w:val="00BE01EB"/>
    <w:rsid w:val="00BE6771"/>
    <w:rsid w:val="00BF0C80"/>
    <w:rsid w:val="00C14859"/>
    <w:rsid w:val="00C56C34"/>
    <w:rsid w:val="00C66BC3"/>
    <w:rsid w:val="00CB5789"/>
    <w:rsid w:val="00D00AB0"/>
    <w:rsid w:val="00D25B75"/>
    <w:rsid w:val="00D300B3"/>
    <w:rsid w:val="00D63633"/>
    <w:rsid w:val="00DD5214"/>
    <w:rsid w:val="00DF35C7"/>
    <w:rsid w:val="00E02DC5"/>
    <w:rsid w:val="00E272D8"/>
    <w:rsid w:val="00E44499"/>
    <w:rsid w:val="00E61341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72836" TargetMode="External"/><Relationship Id="rId18" Type="http://schemas.openxmlformats.org/officeDocument/2006/relationships/hyperlink" Target="http://www.uralgeo.net/flora_o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939" TargetMode="External"/><Relationship Id="rId17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8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rast.ru/soderjanie.html" TargetMode="External"/><Relationship Id="rId10" Type="http://schemas.openxmlformats.org/officeDocument/2006/relationships/hyperlink" Target="http://biblioclub.ru/index.php?page=book&amp;id=2405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1783" TargetMode="External"/><Relationship Id="rId14" Type="http://schemas.openxmlformats.org/officeDocument/2006/relationships/hyperlink" Target="http://biblioclub.ru/index.php?page=book&amp;id=22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14AC-C87F-4EB9-9270-051219D6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6</cp:revision>
  <cp:lastPrinted>2020-01-15T10:10:00Z</cp:lastPrinted>
  <dcterms:created xsi:type="dcterms:W3CDTF">2020-01-15T10:09:00Z</dcterms:created>
  <dcterms:modified xsi:type="dcterms:W3CDTF">2020-01-15T10:12:00Z</dcterms:modified>
</cp:coreProperties>
</file>