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8B3EBB">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9C6EC0" w:rsidP="00C44B48">
      <w:pPr>
        <w:pStyle w:val="ReportHead"/>
        <w:suppressAutoHyphens/>
        <w:rPr>
          <w:i/>
          <w:szCs w:val="28"/>
          <w:u w:val="single"/>
        </w:rPr>
      </w:pPr>
      <w:r>
        <w:rPr>
          <w:i/>
          <w:szCs w:val="28"/>
          <w:u w:val="single"/>
        </w:rPr>
        <w:t>Иностранный язык</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bookmarkStart w:id="1" w:name="_GoBack"/>
      <w:bookmarkEnd w:id="1"/>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B3EBB">
        <w:rPr>
          <w:szCs w:val="28"/>
        </w:rPr>
        <w:t>201</w:t>
      </w:r>
      <w:r w:rsidR="00F12319">
        <w:rPr>
          <w:szCs w:val="28"/>
        </w:rPr>
        <w:t>8</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8B3EBB">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B3EBB">
        <w:rPr>
          <w:szCs w:val="28"/>
        </w:rPr>
        <w:t>________от "___" __________ 201</w:t>
      </w:r>
      <w:r w:rsidR="00F12319">
        <w:rPr>
          <w:szCs w:val="28"/>
        </w:rPr>
        <w:t>8</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8"/>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9"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8C13F8">
              <w:rPr>
                <w:color w:val="000000"/>
                <w:sz w:val="28"/>
                <w:szCs w:val="28"/>
                <w:shd w:val="clear" w:color="auto" w:fill="FFFFFF"/>
                <w:lang w:eastAsia="ru-RU" w:bidi="ru-RU"/>
              </w:rPr>
              <w:t>.е</w:t>
            </w:r>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34" w:rsidRDefault="009C6534" w:rsidP="00A27C4F">
      <w:r>
        <w:separator/>
      </w:r>
    </w:p>
  </w:endnote>
  <w:endnote w:type="continuationSeparator" w:id="0">
    <w:p w:rsidR="009C6534" w:rsidRDefault="009C6534" w:rsidP="00A2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90444"/>
      <w:docPartObj>
        <w:docPartGallery w:val="Page Numbers (Bottom of Page)"/>
        <w:docPartUnique/>
      </w:docPartObj>
    </w:sdtPr>
    <w:sdtContent>
      <w:p w:rsidR="0022065D" w:rsidRDefault="00E02EF2">
        <w:pPr>
          <w:pStyle w:val="ac"/>
          <w:jc w:val="right"/>
        </w:pPr>
        <w:r>
          <w:fldChar w:fldCharType="begin"/>
        </w:r>
        <w:r w:rsidR="0022065D">
          <w:instrText>PAGE   \* MERGEFORMAT</w:instrText>
        </w:r>
        <w:r>
          <w:fldChar w:fldCharType="separate"/>
        </w:r>
        <w:r w:rsidR="00F12319">
          <w:rPr>
            <w:noProof/>
          </w:rPr>
          <w:t>2</w:t>
        </w:r>
        <w:r>
          <w:fldChar w:fldCharType="end"/>
        </w:r>
      </w:p>
    </w:sdtContent>
  </w:sdt>
  <w:p w:rsidR="0022065D" w:rsidRDefault="002206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34" w:rsidRDefault="009C6534" w:rsidP="00A27C4F">
      <w:r>
        <w:separator/>
      </w:r>
    </w:p>
  </w:footnote>
  <w:footnote w:type="continuationSeparator" w:id="0">
    <w:p w:rsidR="009C6534" w:rsidRDefault="009C6534" w:rsidP="00A27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B3EBB"/>
    <w:rsid w:val="008C13F8"/>
    <w:rsid w:val="00920CBF"/>
    <w:rsid w:val="00942181"/>
    <w:rsid w:val="00977249"/>
    <w:rsid w:val="00982B19"/>
    <w:rsid w:val="009861A5"/>
    <w:rsid w:val="00996194"/>
    <w:rsid w:val="009C6534"/>
    <w:rsid w:val="009C6EC0"/>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2EF2"/>
    <w:rsid w:val="00E04676"/>
    <w:rsid w:val="00E3459D"/>
    <w:rsid w:val="00E6150E"/>
    <w:rsid w:val="00F12319"/>
    <w:rsid w:val="00FB330E"/>
    <w:rsid w:val="00FD22B6"/>
    <w:rsid w:val="00FF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5914-1663-4931-895D-B9728369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13580</Words>
  <Characters>77412</Characters>
  <Application>Microsoft Office Word</Application>
  <DocSecurity>4</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Ирина</cp:lastModifiedBy>
  <cp:revision>2</cp:revision>
  <dcterms:created xsi:type="dcterms:W3CDTF">2020-09-15T10:17:00Z</dcterms:created>
  <dcterms:modified xsi:type="dcterms:W3CDTF">2020-09-15T10:17:00Z</dcterms:modified>
</cp:coreProperties>
</file>