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776079" w:rsidRPr="004305AF" w:rsidRDefault="00776079" w:rsidP="00776079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776079" w:rsidRPr="008D4B91" w:rsidRDefault="00776079" w:rsidP="00776079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 xml:space="preserve">(код и </w:t>
      </w:r>
      <w:r w:rsidRPr="008D4B91">
        <w:rPr>
          <w:szCs w:val="28"/>
          <w:vertAlign w:val="superscript"/>
        </w:rPr>
        <w:t>наименование направления подготовки)</w:t>
      </w:r>
    </w:p>
    <w:p w:rsidR="00776079" w:rsidRPr="008D4B91" w:rsidRDefault="00776079" w:rsidP="00776079">
      <w:pPr>
        <w:pStyle w:val="ReportHead"/>
        <w:suppressAutoHyphens/>
        <w:rPr>
          <w:i/>
          <w:szCs w:val="28"/>
          <w:u w:val="single"/>
        </w:rPr>
      </w:pPr>
      <w:r w:rsidRPr="008D4B91">
        <w:rPr>
          <w:i/>
          <w:szCs w:val="28"/>
          <w:u w:val="single"/>
        </w:rPr>
        <w:t>Начальное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bookmarkStart w:id="1" w:name="_GoBack"/>
      <w:bookmarkEnd w:id="1"/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4F41AC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4F41AC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4F41AC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4F41AC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lastRenderedPageBreak/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производства. Цена ресурсов. Граница производственных возможностей и экономическое развитие общества.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lastRenderedPageBreak/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 xml:space="preserve"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</w:t>
      </w:r>
      <w:r w:rsidRPr="00823E7C">
        <w:rPr>
          <w:sz w:val="24"/>
          <w:szCs w:val="24"/>
          <w:lang w:val="ru-RU"/>
        </w:rPr>
        <w:lastRenderedPageBreak/>
        <w:t>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94" w:rsidRDefault="00F96E94" w:rsidP="00DC3BDA">
      <w:pPr>
        <w:spacing w:after="0" w:line="240" w:lineRule="auto"/>
      </w:pPr>
      <w:r>
        <w:separator/>
      </w:r>
    </w:p>
  </w:endnote>
  <w:endnote w:type="continuationSeparator" w:id="0">
    <w:p w:rsidR="00F96E94" w:rsidRDefault="00F96E94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76079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94" w:rsidRDefault="00F96E94" w:rsidP="00DC3BDA">
      <w:pPr>
        <w:spacing w:after="0" w:line="240" w:lineRule="auto"/>
      </w:pPr>
      <w:r>
        <w:separator/>
      </w:r>
    </w:p>
  </w:footnote>
  <w:footnote w:type="continuationSeparator" w:id="0">
    <w:p w:rsidR="00F96E94" w:rsidRDefault="00F96E94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F7BBA"/>
    <w:rsid w:val="0013202F"/>
    <w:rsid w:val="0013799B"/>
    <w:rsid w:val="00230842"/>
    <w:rsid w:val="002B4A8F"/>
    <w:rsid w:val="002C65A4"/>
    <w:rsid w:val="00397CCA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4F41AC"/>
    <w:rsid w:val="005173B4"/>
    <w:rsid w:val="00557AF1"/>
    <w:rsid w:val="005A0864"/>
    <w:rsid w:val="00614260"/>
    <w:rsid w:val="006202A0"/>
    <w:rsid w:val="006B3F8C"/>
    <w:rsid w:val="00776079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5412A"/>
    <w:rsid w:val="00C960F0"/>
    <w:rsid w:val="00D60E79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96E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75BE-2179-4117-BA6B-97DFF8AC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13115</Words>
  <Characters>74760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1</cp:revision>
  <dcterms:created xsi:type="dcterms:W3CDTF">2022-03-09T07:48:00Z</dcterms:created>
  <dcterms:modified xsi:type="dcterms:W3CDTF">2022-03-09T07:51:00Z</dcterms:modified>
</cp:coreProperties>
</file>