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высшего образования</w:t>
      </w:r>
      <w:r w:rsidR="00473F56">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F70D89" w:rsidP="008D6721">
      <w:pPr>
        <w:suppressAutoHyphens w:val="0"/>
        <w:spacing w:after="0" w:line="240" w:lineRule="auto"/>
        <w:jc w:val="center"/>
        <w:rPr>
          <w:rFonts w:ascii="Times New Roman" w:hAnsi="Times New Roman" w:cs="Times New Roman"/>
          <w:b/>
          <w:sz w:val="24"/>
          <w:szCs w:val="24"/>
        </w:rPr>
      </w:pPr>
      <w:r w:rsidRPr="00F70D89">
        <w:rPr>
          <w:rFonts w:ascii="Times New Roman" w:hAnsi="Times New Roman" w:cs="Times New Roman"/>
          <w:b/>
          <w:sz w:val="24"/>
          <w:szCs w:val="24"/>
        </w:rPr>
        <w:t>Практика по получению профессиональных умений и опыта профессиональной деятельности, технологическая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823E6A">
        <w:rPr>
          <w:rFonts w:ascii="Times New Roman" w:hAnsi="Times New Roman" w:cs="Times New Roman"/>
          <w:sz w:val="24"/>
          <w:szCs w:val="24"/>
          <w:lang w:eastAsia="ru-RU"/>
        </w:rPr>
        <w:t>7</w:t>
      </w:r>
      <w:bookmarkStart w:id="0" w:name="_GoBack"/>
      <w:bookmarkEnd w:id="0"/>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Практика относится к обязательным дисциплинам (модулям) вариативной части блока 2 «Практики»</w:t>
      </w:r>
      <w:r>
        <w:rPr>
          <w:rFonts w:ascii="Times New Roman" w:hAnsi="Times New Roman" w:cs="Times New Roman"/>
          <w:sz w:val="24"/>
          <w:szCs w:val="24"/>
        </w:rPr>
        <w:t xml:space="preserve"> </w:t>
      </w:r>
      <w:r w:rsidRPr="008D6721">
        <w:rPr>
          <w:rFonts w:ascii="Times New Roman" w:hAnsi="Times New Roman" w:cs="Times New Roman"/>
          <w:sz w:val="24"/>
          <w:szCs w:val="24"/>
        </w:rPr>
        <w:t>(</w:t>
      </w:r>
      <w:r>
        <w:rPr>
          <w:rFonts w:ascii="Times New Roman" w:hAnsi="Times New Roman" w:cs="Times New Roman"/>
          <w:sz w:val="24"/>
          <w:szCs w:val="24"/>
        </w:rPr>
        <w:t>в 4 семестре обучения</w:t>
      </w:r>
      <w:r w:rsidRPr="008D6721">
        <w:rPr>
          <w:rFonts w:ascii="Times New Roman" w:hAnsi="Times New Roman" w:cs="Times New Roman"/>
          <w:sz w:val="24"/>
          <w:szCs w:val="24"/>
        </w:rPr>
        <w:t>).</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Пререквизиты практики: Отсутствуют</w:t>
      </w:r>
    </w:p>
    <w:p w:rsidR="002D243D" w:rsidRPr="008D6721"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Постреквизиты практики: Б.1.В.ОД.5 Охрана труда на предприятии, Б.2.В.П.3 Преддипломная практика </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bookmarkStart w:id="3" w:name="_Toc510098800"/>
      <w:r w:rsidRPr="00F70D89">
        <w:rPr>
          <w:rFonts w:ascii="Times New Roman" w:eastAsia="Calibri" w:hAnsi="Times New Roman" w:cs="Times New Roman"/>
          <w:b/>
          <w:sz w:val="24"/>
          <w:lang w:eastAsia="en-US"/>
        </w:rPr>
        <w:t xml:space="preserve">Целями практики являются: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закрепление теоретических знаний, полученных при изучении базовых дисциплин;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формирование готовности:  к  поиску,  созданию,  распространению,  применению новшеств  и  творчества  в  образовательном  процессе  для  решения профессионально - педагогических задач; анализу и организации экономической, хозяйственно-правовой  деятельности  в  учебно-производственных  мастерских  и  на предприятиях;</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изучение в условиях предприятия технологий  формирования  креативных способностей при подготовке рабочих, служащих и специалистов среднего звена;</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получение навыков работы с технической документацией и литературой как основы организации    учебно-производственный (профессиональный) процесс через производительный труд;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изучение вопросов производства, передачи и распределения электроэнергии, изготовления, монтажа, ремонта и наладки электрооборудования   для дальнейшей   организации  образовательного  процесса  с применением интерактивных,  эффективных  технологий  подготовки рабочих, служащих и специалистов среднего звена. </w:t>
      </w: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r w:rsidRPr="00F70D89">
        <w:rPr>
          <w:rFonts w:ascii="Times New Roman" w:eastAsia="Calibri" w:hAnsi="Times New Roman" w:cs="Times New Roman"/>
          <w:b/>
          <w:sz w:val="24"/>
          <w:lang w:eastAsia="en-US"/>
        </w:rPr>
        <w:t xml:space="preserve">Задачи: </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студентов с особенностями выбранного направления подготовки и будущего профиля работы;</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изучение организационной структуры предприятий электроэнергетики и номенклатурой выпускаемой продукции;</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наблюдение за работой электроэнергетического оборудования;</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i/>
          <w:sz w:val="24"/>
          <w:lang w:eastAsia="en-US"/>
        </w:rPr>
      </w:pPr>
      <w:r w:rsidRPr="00F70D89">
        <w:rPr>
          <w:rFonts w:ascii="Times New Roman" w:eastAsia="Calibri" w:hAnsi="Times New Roman" w:cs="Times New Roman"/>
          <w:sz w:val="24"/>
          <w:lang w:eastAsia="en-US"/>
        </w:rPr>
        <w:t>- изучение технического оснащения электроэнергетических производств для  анализа и организации экономической, хозяйственно-правовой  деятельности  в  учебно-производственных  мастерских  и  на предприятиях</w:t>
      </w:r>
      <w:r w:rsidRPr="00F70D89">
        <w:rPr>
          <w:rFonts w:ascii="Times New Roman" w:eastAsia="Calibri" w:hAnsi="Times New Roman" w:cs="Times New Roman"/>
          <w:i/>
          <w:sz w:val="24"/>
          <w:lang w:eastAsia="en-US"/>
        </w:rPr>
        <w:t>.</w:t>
      </w:r>
    </w:p>
    <w:p w:rsidR="00C23A7C" w:rsidRDefault="00C23A7C" w:rsidP="00CF5145">
      <w:pPr>
        <w:pStyle w:val="1"/>
        <w:spacing w:before="0" w:after="0"/>
        <w:ind w:firstLine="709"/>
        <w:rPr>
          <w:rFonts w:ascii="Times New Roman" w:hAnsi="Times New Roman"/>
          <w:sz w:val="24"/>
          <w:szCs w:val="24"/>
        </w:rPr>
      </w:pPr>
    </w:p>
    <w:p w:rsidR="0018682D"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9F13E9" w:rsidRDefault="009F13E9" w:rsidP="009F13E9">
      <w:pPr>
        <w:spacing w:after="0" w:line="240" w:lineRule="auto"/>
        <w:ind w:firstLine="709"/>
        <w:jc w:val="both"/>
        <w:rPr>
          <w:rFonts w:ascii="Times New Roman" w:hAnsi="Times New Roman" w:cs="Times New Roman"/>
          <w:sz w:val="24"/>
          <w:szCs w:val="24"/>
        </w:rPr>
      </w:pPr>
    </w:p>
    <w:p w:rsidR="009F13E9" w:rsidRP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4 Методические рекомендации обучающемуся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9F13E9">
      <w:pPr>
        <w:shd w:val="clear" w:color="auto" w:fill="FFFFFF"/>
        <w:spacing w:after="0" w:line="240" w:lineRule="auto"/>
        <w:ind w:firstLine="709"/>
        <w:jc w:val="both"/>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70D89" w:rsidRDefault="00F70D89" w:rsidP="009F13E9">
      <w:pPr>
        <w:pStyle w:val="ReportMain"/>
        <w:keepNext/>
        <w:suppressAutoHyphens/>
        <w:ind w:firstLine="709"/>
        <w:jc w:val="both"/>
        <w:outlineLvl w:val="1"/>
      </w:pPr>
    </w:p>
    <w:p w:rsidR="00155D60" w:rsidRDefault="00155D60" w:rsidP="009F13E9">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отзыва-</w:t>
      </w:r>
      <w:r w:rsidR="00CB03CE">
        <w:lastRenderedPageBreak/>
        <w:t xml:space="preserve">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284437">
        <w:tc>
          <w:tcPr>
            <w:tcW w:w="816"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п/п</w:t>
            </w:r>
          </w:p>
        </w:tc>
        <w:tc>
          <w:tcPr>
            <w:tcW w:w="949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Специфика функционирования различных подразделений предприятия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Нормативная база, должностные инструкции, технология выполнения задач в зависимости от специфики подразделения прохождения практики</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Контроль качества выполнения работ</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Структура  и особенности формирования решений и информационных сообщений, проводимых действий и мероприятий, которые считаются результатом труда специалиста</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на отзыве-характеристике руководителя от базы практики.</w:t>
      </w: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lastRenderedPageBreak/>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hAnsi="Times New Roman" w:cs="Times New Roman"/>
          <w:sz w:val="24"/>
          <w:szCs w:val="24"/>
          <w:lang w:eastAsia="ar-SA"/>
        </w:rPr>
        <w:t xml:space="preserve">Представляет собой индивидуальное научно-педагогическое исследование  в рамках электроэнергетики. Выполняется по конкретному предприятию во время прохождения практики. Определяется для каждого студента руководителем практики </w:t>
      </w:r>
      <w:r w:rsidRPr="009F13E9">
        <w:rPr>
          <w:rFonts w:ascii="Times New Roman" w:eastAsia="Calibri" w:hAnsi="Times New Roman" w:cs="Times New Roman"/>
          <w:sz w:val="24"/>
          <w:szCs w:val="24"/>
          <w:lang w:eastAsia="en-US"/>
        </w:rPr>
        <w:t>по одному из выбранных направлений: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 разработка мультимедийных комплексов по техническим дисциплинам;</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 проектирование междисциплинарных модулей для изучения наиболее сложных и профессионально значимых понятий;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 технология разработки тестов, экзаменационных заданий, тематики курсовых и дипломных проектов;</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 конструирование дидактических материалов по отдельным темам учебных курсов и их презентация;</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 разработка сценариев проведения деловых игр, телеконференций и других инновационных форм занятий;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 сравнительный анализ различных методов оценки качества учебно-познавательной деятельности студентов при изучении инженерных дисциплин;</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 оптимизация учебно-познавательной деятельности и повышение качества инженерной подготовки;</w:t>
      </w:r>
    </w:p>
    <w:p w:rsidR="009F13E9" w:rsidRPr="009F13E9" w:rsidRDefault="009F13E9" w:rsidP="009F13E9">
      <w:pPr>
        <w:tabs>
          <w:tab w:val="num" w:pos="0"/>
        </w:tabs>
        <w:suppressAutoHyphens w:val="0"/>
        <w:spacing w:after="0" w:line="240" w:lineRule="auto"/>
        <w:ind w:firstLine="720"/>
        <w:jc w:val="both"/>
        <w:rPr>
          <w:rFonts w:ascii="Times New Roman" w:hAnsi="Times New Roman" w:cs="Times New Roman"/>
          <w:b/>
          <w:bCs/>
          <w:sz w:val="28"/>
          <w:szCs w:val="28"/>
          <w:lang w:eastAsia="ar-SA"/>
        </w:rPr>
      </w:pPr>
      <w:r w:rsidRPr="009F13E9">
        <w:rPr>
          <w:rFonts w:ascii="Times New Roman" w:eastAsia="Calibri" w:hAnsi="Times New Roman" w:cs="Times New Roman"/>
          <w:sz w:val="24"/>
          <w:szCs w:val="24"/>
          <w:lang w:eastAsia="en-US"/>
        </w:rPr>
        <w:t>9) анализ отечественной и зарубежной практик подготовки специалистов с высшим техническим образованием.</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lastRenderedPageBreak/>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w:t>
      </w:r>
      <w:r w:rsidRPr="009F13E9">
        <w:rPr>
          <w:rFonts w:ascii="Times New Roman" w:eastAsia="Calibri" w:hAnsi="Times New Roman" w:cs="Times New Roman"/>
          <w:sz w:val="24"/>
          <w:szCs w:val="24"/>
          <w:lang w:eastAsia="en-US"/>
        </w:rPr>
        <w:lastRenderedPageBreak/>
        <w:t xml:space="preserve">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823E6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823E6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823E6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823E6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823E6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823E6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23E6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ED" w:rsidRDefault="00FA30ED" w:rsidP="0078587A">
      <w:pPr>
        <w:spacing w:after="0" w:line="240" w:lineRule="auto"/>
      </w:pPr>
      <w:r>
        <w:separator/>
      </w:r>
    </w:p>
  </w:endnote>
  <w:endnote w:type="continuationSeparator" w:id="0">
    <w:p w:rsidR="00FA30ED" w:rsidRDefault="00FA30ED"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823E6A">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ED" w:rsidRDefault="00FA30ED" w:rsidP="0078587A">
      <w:pPr>
        <w:spacing w:after="0" w:line="240" w:lineRule="auto"/>
      </w:pPr>
      <w:r>
        <w:separator/>
      </w:r>
    </w:p>
  </w:footnote>
  <w:footnote w:type="continuationSeparator" w:id="0">
    <w:p w:rsidR="00FA30ED" w:rsidRDefault="00FA30ED"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8682D"/>
    <w:rsid w:val="001946BB"/>
    <w:rsid w:val="001C3407"/>
    <w:rsid w:val="001C4D0A"/>
    <w:rsid w:val="001D1AA7"/>
    <w:rsid w:val="00203E35"/>
    <w:rsid w:val="00214783"/>
    <w:rsid w:val="0021505A"/>
    <w:rsid w:val="002820ED"/>
    <w:rsid w:val="00295EB9"/>
    <w:rsid w:val="002B2329"/>
    <w:rsid w:val="002B269A"/>
    <w:rsid w:val="002B7564"/>
    <w:rsid w:val="002C3906"/>
    <w:rsid w:val="002D243D"/>
    <w:rsid w:val="002D6DDD"/>
    <w:rsid w:val="00307379"/>
    <w:rsid w:val="0038480F"/>
    <w:rsid w:val="003E0D17"/>
    <w:rsid w:val="003E2E80"/>
    <w:rsid w:val="00434CEA"/>
    <w:rsid w:val="004639E3"/>
    <w:rsid w:val="00466A9A"/>
    <w:rsid w:val="0047302C"/>
    <w:rsid w:val="00473F56"/>
    <w:rsid w:val="004766B0"/>
    <w:rsid w:val="004E1DCC"/>
    <w:rsid w:val="0050282D"/>
    <w:rsid w:val="005132AB"/>
    <w:rsid w:val="00517826"/>
    <w:rsid w:val="00562082"/>
    <w:rsid w:val="005A073B"/>
    <w:rsid w:val="005C72E6"/>
    <w:rsid w:val="005C7738"/>
    <w:rsid w:val="005E7A07"/>
    <w:rsid w:val="006821C6"/>
    <w:rsid w:val="00684AE5"/>
    <w:rsid w:val="00725536"/>
    <w:rsid w:val="00766276"/>
    <w:rsid w:val="00773999"/>
    <w:rsid w:val="00777231"/>
    <w:rsid w:val="0078587A"/>
    <w:rsid w:val="00792171"/>
    <w:rsid w:val="007B1274"/>
    <w:rsid w:val="007B3D7A"/>
    <w:rsid w:val="007E7A03"/>
    <w:rsid w:val="00823E6A"/>
    <w:rsid w:val="008931A3"/>
    <w:rsid w:val="008B17B8"/>
    <w:rsid w:val="008D6721"/>
    <w:rsid w:val="00937FCE"/>
    <w:rsid w:val="00962BE8"/>
    <w:rsid w:val="00975242"/>
    <w:rsid w:val="009811E1"/>
    <w:rsid w:val="009A61D0"/>
    <w:rsid w:val="009B042B"/>
    <w:rsid w:val="009B0EFD"/>
    <w:rsid w:val="009D29B6"/>
    <w:rsid w:val="009F13E9"/>
    <w:rsid w:val="00A455AF"/>
    <w:rsid w:val="00A63445"/>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D4288"/>
    <w:rsid w:val="00EE6FEA"/>
    <w:rsid w:val="00EF6CDA"/>
    <w:rsid w:val="00F25B83"/>
    <w:rsid w:val="00F52603"/>
    <w:rsid w:val="00F6629C"/>
    <w:rsid w:val="00F70D89"/>
    <w:rsid w:val="00FA30ED"/>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1755-2588-4B1C-9C8D-A12B184D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10</cp:revision>
  <cp:lastPrinted>2019-12-03T08:44:00Z</cp:lastPrinted>
  <dcterms:created xsi:type="dcterms:W3CDTF">2019-12-08T18:15:00Z</dcterms:created>
  <dcterms:modified xsi:type="dcterms:W3CDTF">2019-12-08T19:33:00Z</dcterms:modified>
</cp:coreProperties>
</file>