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proofErr w:type="spellStart"/>
      <w:r w:rsidR="00255451">
        <w:rPr>
          <w:rFonts w:ascii="Times New Roman" w:eastAsia="Calibri" w:hAnsi="Times New Roman" w:cs="Times New Roman"/>
          <w:sz w:val="28"/>
        </w:rPr>
        <w:t>Валеология</w:t>
      </w:r>
      <w:proofErr w:type="spellEnd"/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B515DD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Начальное </w:t>
      </w:r>
      <w:r w:rsidR="00F154C2">
        <w:rPr>
          <w:i/>
          <w:sz w:val="24"/>
          <w:szCs w:val="24"/>
          <w:u w:val="single"/>
        </w:rPr>
        <w:t>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25545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255451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2554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25545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2554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25545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B515DD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B515DD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B515DD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B515DD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B515DD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B515DD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>Виды оценочных средств/</w:t>
            </w:r>
          </w:p>
          <w:p w:rsidR="001C5306" w:rsidRPr="00B515DD" w:rsidRDefault="001C5306" w:rsidP="001C5306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B515DD" w:rsidRPr="00B515DD" w:rsidTr="00F154C2">
        <w:tc>
          <w:tcPr>
            <w:tcW w:w="3879" w:type="dxa"/>
            <w:vMerge w:val="restart"/>
            <w:shd w:val="clear" w:color="auto" w:fill="auto"/>
          </w:tcPr>
          <w:p w:rsidR="00B515DD" w:rsidRPr="00B515DD" w:rsidRDefault="00B515DD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ОПК-2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237" w:type="dxa"/>
            <w:shd w:val="clear" w:color="auto" w:fill="auto"/>
          </w:tcPr>
          <w:p w:rsidR="00B515DD" w:rsidRPr="00B515DD" w:rsidRDefault="00B515DD" w:rsidP="00B515DD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  <w:u w:val="single"/>
              </w:rPr>
              <w:t>Знать:</w:t>
            </w:r>
          </w:p>
          <w:p w:rsidR="00B515DD" w:rsidRPr="00B515DD" w:rsidRDefault="00B515DD" w:rsidP="00F154C2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677" w:type="dxa"/>
            <w:shd w:val="clear" w:color="auto" w:fill="auto"/>
          </w:tcPr>
          <w:p w:rsidR="00B515DD" w:rsidRPr="00B515DD" w:rsidRDefault="00B515DD" w:rsidP="00E8078B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A –</w:t>
            </w:r>
            <w:r w:rsidRPr="00B515DD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B515DD" w:rsidRPr="00B515DD" w:rsidRDefault="00B515DD" w:rsidP="00E8078B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B515DD" w:rsidRPr="00B515DD" w:rsidTr="00F154C2">
        <w:tc>
          <w:tcPr>
            <w:tcW w:w="3879" w:type="dxa"/>
            <w:vMerge/>
            <w:shd w:val="clear" w:color="auto" w:fill="auto"/>
          </w:tcPr>
          <w:p w:rsidR="00B515DD" w:rsidRPr="00B515DD" w:rsidRDefault="00B515DD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15DD" w:rsidRPr="00B515DD" w:rsidRDefault="00B515DD" w:rsidP="00B515DD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B515DD" w:rsidRPr="00B515DD" w:rsidRDefault="00B515DD" w:rsidP="00B51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</w:t>
            </w:r>
            <w:proofErr w:type="gramStart"/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proofErr w:type="gramEnd"/>
            <w:r w:rsidRPr="00B515DD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воспитательный процессы, учит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 w:rsidRPr="00B51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возрастные,</w:t>
            </w:r>
            <w:r w:rsidRPr="00B51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социальные и психофизические особенности обуча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щихся;</w:t>
            </w:r>
          </w:p>
        </w:tc>
        <w:tc>
          <w:tcPr>
            <w:tcW w:w="4677" w:type="dxa"/>
            <w:shd w:val="clear" w:color="auto" w:fill="auto"/>
          </w:tcPr>
          <w:p w:rsidR="00B515DD" w:rsidRPr="00B515DD" w:rsidRDefault="00B515DD" w:rsidP="00E8078B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B –</w:t>
            </w:r>
            <w:r w:rsidRPr="00B515DD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B515DD" w:rsidRPr="00B515DD" w:rsidRDefault="00B515DD" w:rsidP="00E8078B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B515DD" w:rsidRPr="00B515DD" w:rsidTr="00F154C2">
        <w:tc>
          <w:tcPr>
            <w:tcW w:w="3879" w:type="dxa"/>
            <w:vMerge/>
            <w:shd w:val="clear" w:color="auto" w:fill="auto"/>
          </w:tcPr>
          <w:p w:rsidR="00B515DD" w:rsidRPr="00B515DD" w:rsidRDefault="00B515DD" w:rsidP="001C53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15DD" w:rsidRPr="00B515DD" w:rsidRDefault="00B515DD" w:rsidP="00B515DD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  <w:u w:val="single"/>
              </w:rPr>
              <w:t>Владеть:</w:t>
            </w:r>
          </w:p>
          <w:p w:rsidR="00B515DD" w:rsidRPr="00B515DD" w:rsidRDefault="00B515DD" w:rsidP="00B515DD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677" w:type="dxa"/>
            <w:shd w:val="clear" w:color="auto" w:fill="auto"/>
          </w:tcPr>
          <w:p w:rsidR="00B515DD" w:rsidRPr="00B515DD" w:rsidRDefault="00B515DD" w:rsidP="00E8078B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C –</w:t>
            </w:r>
            <w:r w:rsidRPr="00B515DD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B515DD" w:rsidRPr="00B515DD" w:rsidRDefault="00B515DD" w:rsidP="00E8078B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B515DD" w:rsidRPr="00B515DD" w:rsidTr="00F154C2">
        <w:tc>
          <w:tcPr>
            <w:tcW w:w="3879" w:type="dxa"/>
            <w:vMerge w:val="restart"/>
            <w:shd w:val="clear" w:color="auto" w:fill="auto"/>
          </w:tcPr>
          <w:p w:rsidR="00B515DD" w:rsidRPr="00B515DD" w:rsidRDefault="00B515DD" w:rsidP="00E807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 xml:space="preserve">ОПК-6 готовность  к обеспечению охраны жизни и здоровья </w:t>
            </w:r>
            <w:proofErr w:type="gramStart"/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B515DD" w:rsidRPr="00B515DD" w:rsidRDefault="00B515DD" w:rsidP="00E807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15DD" w:rsidRPr="00B515DD" w:rsidRDefault="00B515DD" w:rsidP="00E8078B">
            <w:pPr>
              <w:pStyle w:val="ReportMain"/>
              <w:widowControl w:val="0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  <w:u w:val="single"/>
              </w:rPr>
              <w:t>Знать:</w:t>
            </w:r>
          </w:p>
          <w:p w:rsidR="00B515DD" w:rsidRPr="00B515DD" w:rsidRDefault="00B515DD" w:rsidP="00E8078B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>правила, методы и приемы обеспечения охраны жизни и здоровья обучающихся;</w:t>
            </w:r>
            <w:r w:rsidRPr="00B515DD">
              <w:rPr>
                <w:rFonts w:eastAsia="TimesNewRoman,Bold"/>
                <w:bCs/>
                <w:sz w:val="20"/>
                <w:szCs w:val="20"/>
              </w:rPr>
              <w:t xml:space="preserve"> анатомо-физиологические особенности систем органов; </w:t>
            </w:r>
            <w:r w:rsidRPr="00B515DD">
              <w:rPr>
                <w:sz w:val="20"/>
                <w:szCs w:val="20"/>
              </w:rPr>
              <w:t>гигиенические основы здорового образа жизни;</w:t>
            </w:r>
          </w:p>
        </w:tc>
        <w:tc>
          <w:tcPr>
            <w:tcW w:w="4677" w:type="dxa"/>
            <w:shd w:val="clear" w:color="auto" w:fill="auto"/>
          </w:tcPr>
          <w:p w:rsidR="00B515DD" w:rsidRPr="00B515DD" w:rsidRDefault="00B515DD" w:rsidP="00E8078B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A –</w:t>
            </w:r>
            <w:r w:rsidRPr="00B515DD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B515DD" w:rsidRPr="00B515DD" w:rsidRDefault="00B515DD" w:rsidP="00E8078B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B515DD" w:rsidRPr="00B515DD" w:rsidTr="00F154C2">
        <w:tc>
          <w:tcPr>
            <w:tcW w:w="3879" w:type="dxa"/>
            <w:vMerge/>
            <w:shd w:val="clear" w:color="auto" w:fill="auto"/>
          </w:tcPr>
          <w:p w:rsidR="00B515DD" w:rsidRPr="00B515DD" w:rsidRDefault="00B515DD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15DD" w:rsidRPr="00B515DD" w:rsidRDefault="00B515DD" w:rsidP="001C5306">
            <w:pPr>
              <w:pStyle w:val="ReportMain"/>
              <w:widowControl w:val="0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  <w:u w:val="single"/>
              </w:rPr>
              <w:t>Уметь:</w:t>
            </w:r>
          </w:p>
          <w:p w:rsidR="00B515DD" w:rsidRPr="00B515DD" w:rsidRDefault="00B515DD" w:rsidP="00F154C2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</w:rPr>
              <w:t xml:space="preserve">применять методы обеспечения охраны жизни и здоровья </w:t>
            </w:r>
            <w:proofErr w:type="gramStart"/>
            <w:r w:rsidRPr="00B515DD">
              <w:rPr>
                <w:sz w:val="20"/>
                <w:szCs w:val="20"/>
              </w:rPr>
              <w:t>обучающихся</w:t>
            </w:r>
            <w:proofErr w:type="gramEnd"/>
            <w:r w:rsidRPr="00B515DD">
              <w:rPr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B515DD" w:rsidRPr="00B515DD" w:rsidRDefault="00B515DD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B –</w:t>
            </w:r>
            <w:r w:rsidRPr="00B515DD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B515DD" w:rsidRPr="00B515DD" w:rsidRDefault="00B515DD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B515DD" w:rsidRPr="00B515DD" w:rsidTr="00F154C2">
        <w:trPr>
          <w:trHeight w:val="533"/>
        </w:trPr>
        <w:tc>
          <w:tcPr>
            <w:tcW w:w="3879" w:type="dxa"/>
            <w:vMerge/>
            <w:shd w:val="clear" w:color="auto" w:fill="auto"/>
          </w:tcPr>
          <w:p w:rsidR="00B515DD" w:rsidRPr="00B515DD" w:rsidRDefault="00B515DD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515DD" w:rsidRPr="00B515DD" w:rsidRDefault="00B515DD" w:rsidP="001C5306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B515DD">
              <w:rPr>
                <w:sz w:val="20"/>
                <w:szCs w:val="20"/>
                <w:u w:val="single"/>
              </w:rPr>
              <w:t>Владеть:</w:t>
            </w:r>
          </w:p>
          <w:p w:rsidR="00B515DD" w:rsidRPr="00B515DD" w:rsidRDefault="00B515DD" w:rsidP="001C5306">
            <w:pPr>
              <w:pStyle w:val="ReportMain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B515DD">
              <w:rPr>
                <w:sz w:val="20"/>
                <w:szCs w:val="20"/>
              </w:rPr>
              <w:t xml:space="preserve">приёмами обеспечения охраны жизни и здоровья </w:t>
            </w:r>
            <w:proofErr w:type="gramStart"/>
            <w:r w:rsidRPr="00B515DD">
              <w:rPr>
                <w:sz w:val="20"/>
                <w:szCs w:val="20"/>
              </w:rPr>
              <w:t>обучающихся</w:t>
            </w:r>
            <w:proofErr w:type="gramEnd"/>
            <w:r w:rsidRPr="00B515DD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515DD" w:rsidRPr="00B515DD" w:rsidRDefault="00B515DD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C –</w:t>
            </w:r>
            <w:r w:rsidRPr="00B515DD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B515DD" w:rsidRPr="00B515DD" w:rsidRDefault="00B515DD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F154C2" w:rsidRPr="00B515DD" w:rsidTr="00F154C2">
        <w:tc>
          <w:tcPr>
            <w:tcW w:w="3879" w:type="dxa"/>
            <w:vMerge w:val="restart"/>
            <w:shd w:val="clear" w:color="auto" w:fill="auto"/>
          </w:tcPr>
          <w:p w:rsidR="00B515DD" w:rsidRPr="00B515DD" w:rsidRDefault="00B515DD" w:rsidP="00B5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ПК-6 готовность к взаимодействию с уч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стниками образовательного процесса</w:t>
            </w:r>
          </w:p>
          <w:p w:rsidR="00F154C2" w:rsidRPr="00B515DD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B515DD" w:rsidRDefault="00F154C2" w:rsidP="00F154C2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sz w:val="20"/>
                <w:szCs w:val="20"/>
                <w:u w:val="single"/>
              </w:rPr>
              <w:t>Знать:</w:t>
            </w:r>
          </w:p>
          <w:p w:rsidR="00F154C2" w:rsidRPr="00B515DD" w:rsidRDefault="00B515DD" w:rsidP="00F154C2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0"/>
                <w:szCs w:val="20"/>
              </w:rPr>
            </w:pPr>
            <w:r w:rsidRPr="00B515DD">
              <w:rPr>
                <w:color w:val="auto"/>
                <w:sz w:val="20"/>
                <w:szCs w:val="20"/>
              </w:rPr>
              <w:t>особенности  педагогического общения; основ организ</w:t>
            </w:r>
            <w:r w:rsidRPr="00B515DD">
              <w:rPr>
                <w:color w:val="auto"/>
                <w:sz w:val="20"/>
                <w:szCs w:val="20"/>
              </w:rPr>
              <w:t>а</w:t>
            </w:r>
            <w:r w:rsidRPr="00B515DD">
              <w:rPr>
                <w:color w:val="auto"/>
                <w:sz w:val="20"/>
                <w:szCs w:val="20"/>
              </w:rPr>
              <w:t>ции работы в коллективе (командной работы)</w:t>
            </w:r>
            <w:r w:rsidRPr="00B515DD">
              <w:rPr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B515DD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A –</w:t>
            </w:r>
            <w:r w:rsidRPr="00B515DD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F154C2" w:rsidRPr="00B515DD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F154C2" w:rsidRPr="00B515DD" w:rsidTr="00F154C2">
        <w:tc>
          <w:tcPr>
            <w:tcW w:w="3879" w:type="dxa"/>
            <w:vMerge/>
            <w:shd w:val="clear" w:color="auto" w:fill="auto"/>
          </w:tcPr>
          <w:p w:rsidR="00F154C2" w:rsidRPr="00B515DD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B515DD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515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B515DD" w:rsidRPr="00B515DD" w:rsidRDefault="00B515DD" w:rsidP="00B515DD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осуществлять диалог и добиваться успеха в процессе ко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муникации; устанавливать и поддерживать конструктивные отношения с коллег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ми, соотносить личные и групповые интересы, проявлять те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515DD">
              <w:rPr>
                <w:rFonts w:ascii="Times New Roman" w:hAnsi="Times New Roman" w:cs="Times New Roman"/>
                <w:sz w:val="20"/>
                <w:szCs w:val="20"/>
              </w:rPr>
              <w:t>пимость к иным взглядам и точкам зрения;</w:t>
            </w:r>
          </w:p>
          <w:p w:rsidR="00F154C2" w:rsidRPr="00B515DD" w:rsidRDefault="00F154C2" w:rsidP="00F154C2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F154C2" w:rsidRPr="00B515DD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B –</w:t>
            </w:r>
            <w:r w:rsidRPr="00B515DD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F154C2" w:rsidRPr="00B515DD" w:rsidRDefault="00255451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>Практические задания</w:t>
            </w:r>
            <w:r w:rsidR="00F154C2" w:rsidRPr="00B515D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154C2" w:rsidRPr="00B515DD" w:rsidTr="00F154C2">
        <w:tc>
          <w:tcPr>
            <w:tcW w:w="3879" w:type="dxa"/>
            <w:vMerge/>
            <w:shd w:val="clear" w:color="auto" w:fill="auto"/>
          </w:tcPr>
          <w:p w:rsidR="00F154C2" w:rsidRPr="00B515DD" w:rsidRDefault="00F154C2" w:rsidP="001C5306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B515DD" w:rsidRDefault="00F154C2" w:rsidP="00F154C2">
            <w:pPr>
              <w:pStyle w:val="ReportMain"/>
              <w:suppressAutoHyphens/>
              <w:rPr>
                <w:sz w:val="20"/>
                <w:szCs w:val="20"/>
                <w:u w:val="single"/>
              </w:rPr>
            </w:pPr>
            <w:r w:rsidRPr="00B515DD">
              <w:rPr>
                <w:sz w:val="20"/>
                <w:szCs w:val="20"/>
                <w:u w:val="single"/>
              </w:rPr>
              <w:t>Владеть:</w:t>
            </w:r>
          </w:p>
          <w:p w:rsidR="00F154C2" w:rsidRPr="00B515DD" w:rsidRDefault="00B515DD" w:rsidP="00F154C2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B515DD">
              <w:rPr>
                <w:sz w:val="20"/>
                <w:szCs w:val="20"/>
              </w:rPr>
              <w:t>коммуникативными навыками, способами установления контактов и поддержания взаимодействия, обеспечивающими успе</w:t>
            </w:r>
            <w:r w:rsidRPr="00B515DD">
              <w:rPr>
                <w:sz w:val="20"/>
                <w:szCs w:val="20"/>
              </w:rPr>
              <w:t>ш</w:t>
            </w:r>
            <w:r w:rsidRPr="00B515DD">
              <w:rPr>
                <w:sz w:val="20"/>
                <w:szCs w:val="20"/>
              </w:rPr>
              <w:t>ную работу в коллективе; опытом работы в коллективе (в команде), навыками оце</w:t>
            </w:r>
            <w:r w:rsidRPr="00B515DD">
              <w:rPr>
                <w:sz w:val="20"/>
                <w:szCs w:val="20"/>
              </w:rPr>
              <w:t>н</w:t>
            </w:r>
            <w:r w:rsidRPr="00B515DD">
              <w:rPr>
                <w:sz w:val="20"/>
                <w:szCs w:val="20"/>
              </w:rPr>
              <w:t>ки совместной работы, уточнения дальнейших дейс</w:t>
            </w:r>
            <w:r w:rsidRPr="00B515DD">
              <w:rPr>
                <w:sz w:val="20"/>
                <w:szCs w:val="20"/>
              </w:rPr>
              <w:t>т</w:t>
            </w:r>
            <w:r w:rsidRPr="00B515DD">
              <w:rPr>
                <w:sz w:val="20"/>
                <w:szCs w:val="20"/>
              </w:rPr>
              <w:t>вий и т. д.).</w:t>
            </w:r>
          </w:p>
        </w:tc>
        <w:tc>
          <w:tcPr>
            <w:tcW w:w="4677" w:type="dxa"/>
            <w:shd w:val="clear" w:color="auto" w:fill="auto"/>
          </w:tcPr>
          <w:p w:rsidR="00F154C2" w:rsidRPr="00B515DD" w:rsidRDefault="00F154C2" w:rsidP="00D1027D">
            <w:pPr>
              <w:pStyle w:val="ReportMain"/>
              <w:suppressAutoHyphens/>
              <w:rPr>
                <w:sz w:val="20"/>
                <w:szCs w:val="20"/>
              </w:rPr>
            </w:pPr>
            <w:r w:rsidRPr="00B515DD">
              <w:rPr>
                <w:b/>
                <w:sz w:val="20"/>
                <w:szCs w:val="20"/>
              </w:rPr>
              <w:t>Блок C –</w:t>
            </w:r>
            <w:r w:rsidRPr="00B515DD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B515DD" w:rsidRDefault="00F154C2" w:rsidP="00255451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B515DD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55451" w:rsidRPr="001C5306" w:rsidRDefault="00255451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B56114" w:rsidRDefault="001C5306" w:rsidP="00255451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lastRenderedPageBreak/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5451" w:rsidRDefault="0025545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экологические проблемы вашего района, возможные пути их решения.</w:t>
      </w:r>
    </w:p>
    <w:p w:rsidR="00255451" w:rsidRPr="00255451" w:rsidRDefault="00255451" w:rsidP="0025545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5545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55451">
        <w:rPr>
          <w:rFonts w:ascii="Times New Roman" w:hAnsi="Times New Roman" w:cs="Times New Roman"/>
          <w:sz w:val="28"/>
          <w:szCs w:val="28"/>
        </w:rPr>
        <w:t>апишите 7-10 библиографических карточек по теме «Развитие, форм</w:t>
      </w:r>
      <w:r w:rsidRPr="00255451">
        <w:rPr>
          <w:rFonts w:ascii="Times New Roman" w:hAnsi="Times New Roman" w:cs="Times New Roman"/>
          <w:sz w:val="28"/>
          <w:szCs w:val="28"/>
        </w:rPr>
        <w:t>и</w:t>
      </w:r>
      <w:r w:rsidRPr="00255451">
        <w:rPr>
          <w:rFonts w:ascii="Times New Roman" w:hAnsi="Times New Roman" w:cs="Times New Roman"/>
          <w:sz w:val="28"/>
          <w:szCs w:val="28"/>
        </w:rPr>
        <w:t>рование и воспитание личности».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</w:t>
            </w:r>
            <w:r w:rsidRPr="0074514D">
              <w:rPr>
                <w:i/>
              </w:rPr>
              <w:lastRenderedPageBreak/>
              <w:t>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9736AF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B515DD">
          <w:rPr>
            <w:noProof/>
            <w:sz w:val="24"/>
          </w:rPr>
          <w:t>35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3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6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5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4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8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3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4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39"/>
  </w:num>
  <w:num w:numId="12">
    <w:abstractNumId w:val="33"/>
  </w:num>
  <w:num w:numId="13">
    <w:abstractNumId w:val="8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30"/>
  </w:num>
  <w:num w:numId="23">
    <w:abstractNumId w:val="13"/>
  </w:num>
  <w:num w:numId="24">
    <w:abstractNumId w:val="28"/>
  </w:num>
  <w:num w:numId="25">
    <w:abstractNumId w:val="21"/>
  </w:num>
  <w:num w:numId="26">
    <w:abstractNumId w:val="25"/>
  </w:num>
  <w:num w:numId="27">
    <w:abstractNumId w:val="32"/>
  </w:num>
  <w:num w:numId="28">
    <w:abstractNumId w:val="41"/>
  </w:num>
  <w:num w:numId="29">
    <w:abstractNumId w:val="10"/>
  </w:num>
  <w:num w:numId="30">
    <w:abstractNumId w:val="27"/>
  </w:num>
  <w:num w:numId="31">
    <w:abstractNumId w:val="15"/>
  </w:num>
  <w:num w:numId="32">
    <w:abstractNumId w:val="9"/>
  </w:num>
  <w:num w:numId="33">
    <w:abstractNumId w:val="43"/>
  </w:num>
  <w:num w:numId="34">
    <w:abstractNumId w:val="31"/>
  </w:num>
  <w:num w:numId="35">
    <w:abstractNumId w:val="36"/>
  </w:num>
  <w:num w:numId="36">
    <w:abstractNumId w:val="38"/>
  </w:num>
  <w:num w:numId="37">
    <w:abstractNumId w:val="12"/>
  </w:num>
  <w:num w:numId="38">
    <w:abstractNumId w:val="42"/>
  </w:num>
  <w:num w:numId="39">
    <w:abstractNumId w:val="35"/>
  </w:num>
  <w:num w:numId="40">
    <w:abstractNumId w:val="37"/>
  </w:num>
  <w:num w:numId="41">
    <w:abstractNumId w:val="17"/>
  </w:num>
  <w:num w:numId="42">
    <w:abstractNumId w:val="11"/>
  </w:num>
  <w:num w:numId="43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55451"/>
    <w:rsid w:val="00263C0C"/>
    <w:rsid w:val="00275D25"/>
    <w:rsid w:val="002808A3"/>
    <w:rsid w:val="00285503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81869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736AF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42B4B"/>
    <w:rsid w:val="00A47DFE"/>
    <w:rsid w:val="00A655AB"/>
    <w:rsid w:val="00A77987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15DD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35</Pages>
  <Words>8142</Words>
  <Characters>46415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129</cp:revision>
  <cp:lastPrinted>2017-11-02T10:59:00Z</cp:lastPrinted>
  <dcterms:created xsi:type="dcterms:W3CDTF">2016-09-22T09:12:00Z</dcterms:created>
  <dcterms:modified xsi:type="dcterms:W3CDTF">2019-11-25T13:42:00Z</dcterms:modified>
</cp:coreProperties>
</file>