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A36193"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44.03.01 Педагогическое образование</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A36193"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Начальное образование, Дошкольное образование, информатика, Менеджмент в образовании, Математическое образование, Информатика</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AF5202"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94171A" w:rsidRPr="0094171A">
        <w:rPr>
          <w:rFonts w:ascii="Times New Roman" w:eastAsia="Calibri" w:hAnsi="Times New Roman" w:cs="Times New Roman"/>
          <w:i/>
          <w:sz w:val="28"/>
          <w:szCs w:val="28"/>
          <w:u w:val="single"/>
        </w:rPr>
        <w:t>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w:t>
      </w:r>
      <w:r w:rsidR="00A36193">
        <w:rPr>
          <w:szCs w:val="28"/>
        </w:rPr>
        <w:t>2</w:t>
      </w:r>
      <w:r w:rsidR="00AF5202">
        <w:rPr>
          <w:szCs w:val="28"/>
        </w:rPr>
        <w:t>2</w:t>
      </w:r>
      <w:bookmarkStart w:id="0" w:name="_GoBack"/>
      <w:bookmarkEnd w:id="0"/>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A36193">
        <w:rPr>
          <w:i/>
          <w:szCs w:val="28"/>
        </w:rPr>
        <w:t>44</w:t>
      </w:r>
      <w:r w:rsidR="0094171A" w:rsidRPr="0094171A">
        <w:rPr>
          <w:i/>
          <w:szCs w:val="28"/>
        </w:rPr>
        <w:t xml:space="preserve">.03.01 </w:t>
      </w:r>
      <w:r w:rsidR="00A36193">
        <w:rPr>
          <w:i/>
          <w:szCs w:val="28"/>
        </w:rPr>
        <w:t>Педагогическое образование</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36193" w:rsidP="00A9449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 Григорьева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среди гуманитарных наук; о структуре и составе со-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культурного и нравственно-ценностного влияния исторических событий на формирование гражданской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причинно</w:t>
            </w:r>
            <w:r>
              <w:rPr>
                <w:rFonts w:ascii="Times New Roman" w:eastAsia="Times New Roman" w:hAnsi="Times New Roman" w:cs="Times New Roman"/>
                <w:sz w:val="24"/>
                <w:szCs w:val="24"/>
                <w:lang w:eastAsia="ru-RU"/>
              </w:rPr>
              <w:t>-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историческими явлениями, 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лять свое отношение к ним, учитывая место страны в</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мировом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события, синтезировать разнообразную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традиционные ценности российского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категориальным аппаратом по истории на уровне понимания </w:t>
            </w:r>
            <w:r w:rsidRPr="00A36193">
              <w:rPr>
                <w:rFonts w:ascii="Times New Roman" w:eastAsia="Times New Roman" w:hAnsi="Times New Roman" w:cs="Times New Roman"/>
                <w:sz w:val="24"/>
                <w:szCs w:val="24"/>
                <w:lang w:eastAsia="ru-RU"/>
              </w:rPr>
              <w:lastRenderedPageBreak/>
              <w:t>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самостоятельного овладения новыми знаниями по исторической проблематике, в том числе с</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w:t>
            </w:r>
            <w:r w:rsidRPr="00A36193">
              <w:rPr>
                <w:rFonts w:ascii="Times New Roman" w:eastAsia="Times New Roman" w:hAnsi="Times New Roman" w:cs="Times New Roman"/>
                <w:sz w:val="24"/>
                <w:szCs w:val="24"/>
                <w:lang w:eastAsia="ru-RU"/>
              </w:rPr>
              <w:lastRenderedPageBreak/>
              <w:t xml:space="preserve">установление хронологической 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разнообразие общества в</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r w:rsidRPr="00A36193">
              <w:rPr>
                <w:rFonts w:ascii="Times New Roman" w:eastAsia="Times New Roman" w:hAnsi="Times New Roman" w:cs="Times New Roman"/>
                <w:sz w:val="24"/>
                <w:szCs w:val="24"/>
                <w:lang w:eastAsia="ru-RU" w:bidi="ru-RU"/>
              </w:rPr>
              <w:t>контекстах</w:t>
            </w:r>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личности; особенности исторического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демонстрировать уважительное отношение к </w:t>
            </w:r>
            <w:r w:rsidRPr="00460043">
              <w:rPr>
                <w:rFonts w:ascii="Times New Roman" w:eastAsia="Times New Roman" w:hAnsi="Times New Roman" w:cs="Times New Roman"/>
                <w:sz w:val="24"/>
                <w:szCs w:val="24"/>
                <w:lang w:eastAsia="ru-RU"/>
              </w:rPr>
              <w:lastRenderedPageBreak/>
              <w:t>историческому наследию и 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w:t>
            </w:r>
            <w:r w:rsidRPr="00A36193">
              <w:rPr>
                <w:rFonts w:ascii="Times New Roman" w:eastAsia="Times New Roman" w:hAnsi="Times New Roman" w:cs="Times New Roman"/>
                <w:sz w:val="24"/>
                <w:szCs w:val="24"/>
                <w:lang w:eastAsia="ru-RU"/>
              </w:rPr>
              <w:lastRenderedPageBreak/>
              <w:t>собеседование  по проблемным и 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w:t>
            </w:r>
            <w:r w:rsidRPr="00A36193">
              <w:rPr>
                <w:rFonts w:ascii="Times New Roman" w:eastAsia="Times New Roman" w:hAnsi="Times New Roman" w:cs="Times New Roman"/>
                <w:sz w:val="24"/>
                <w:szCs w:val="24"/>
                <w:lang w:eastAsia="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A48F97" wp14:editId="1025648E">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58F671E" wp14:editId="6973A0F8">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3F33758" wp14:editId="749ED7FF">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0CD15836" wp14:editId="5631CBC9">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F63B263" wp14:editId="3EBF6E09">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ED2297" wp14:editId="3454D419">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559835F" wp14:editId="4611A782">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E53F175" wp14:editId="6562D710">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BE17E8B" wp14:editId="34C06C65">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50B269F" wp14:editId="27D589FD">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61B7BC9" wp14:editId="2768B5CC">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7131C89" wp14:editId="333AB446">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E22A8AF" wp14:editId="42AE37D0">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09FF251" wp14:editId="031FD968">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7E4254C" wp14:editId="0677CF7F">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3D60017F" wp14:editId="27262E1E">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7EC40B96" wp14:editId="41FD7FC4">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351B48DD" wp14:editId="72C704C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80F0C80" wp14:editId="545F6BFB">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6BBE6215" wp14:editId="01C5C109">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1A8B1E0F" wp14:editId="660CEA3C">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882E6E7" wp14:editId="70E0DCFE">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D8AFB80" wp14:editId="57DF47D2">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BD339E7" wp14:editId="61611AFF">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5559ECC" wp14:editId="20B9E31C">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64A6B56" wp14:editId="400484A1">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860EBC9" wp14:editId="09422297">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935A08B" wp14:editId="295CDC5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A7E12BA" wp14:editId="01A165F5">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7D10933" wp14:editId="195AAEEA">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6F50DA1" wp14:editId="4218A7AD">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6E57343" wp14:editId="6B839BE4">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3006FC4" wp14:editId="32CC8872">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B9B59E0" wp14:editId="41D3C5C2">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4568627" wp14:editId="36658ED7">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1258D91" wp14:editId="48B4EE1C">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01F7A84" wp14:editId="32AC0BB2">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D497B2B" wp14:editId="5706C962">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A688740" wp14:editId="57196323">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3FD1B19" wp14:editId="20053858">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34F4C88" wp14:editId="1437B89A">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8B1B275" wp14:editId="1417FA10">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76E0FD31" wp14:editId="305E48A6">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2C15C7EC" wp14:editId="5AA36460">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494EA731" wp14:editId="6970E75A">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2B685EC2" wp14:editId="5E08040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748E77CC" wp14:editId="1896BA5C">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978089A" wp14:editId="3CEEEA17">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34974EA5" wp14:editId="2BB0E510">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C50577A" wp14:editId="7138B3CA">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27564FBC" wp14:editId="353DA2CF">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89BABEE" wp14:editId="271F7CF0">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E08D4DB" wp14:editId="33DAD550">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6D362C5C" wp14:editId="5250BE81">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7EA94914" wp14:editId="3F658BE3">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35B4549D" wp14:editId="621EDA02">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49E69CC" wp14:editId="5C4DA69A">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29FD4693" wp14:editId="74894D11">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525E72F2" wp14:editId="0C6C8BCD">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B3C01CD" wp14:editId="081DF682">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0869553" wp14:editId="461B3831">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D477BA2" wp14:editId="5A5EADE6">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D42254C" wp14:editId="6D9DBF28">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57BB46C2" wp14:editId="4696699A">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35E0CB8" wp14:editId="1A1AA52B">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B3F308D" wp14:editId="1236411B">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66C5EE8" wp14:editId="4681C9AA">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C22615C" wp14:editId="4DFE081F">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58A774A" wp14:editId="4C0F062F">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76D0AAB" wp14:editId="2D3F3AE8">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DC3A8A0" wp14:editId="0628F3DF">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C205B4B" wp14:editId="305B4FAC">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A0C440A" wp14:editId="039B0336">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CD6DE58" wp14:editId="0A1CCADC">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D9F1B30" wp14:editId="2BE2BBEF">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4507BD8" wp14:editId="0EABD3E8">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70ED14DD" wp14:editId="52465B38">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02653C6" wp14:editId="0968CA5E">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1428404F" wp14:editId="6737C71A">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1DE1752" wp14:editId="20318DB1">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28157E2B" wp14:editId="5B95FA4E">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23B07581" wp14:editId="4398904F">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4EE4F440" wp14:editId="407B1504">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CE20528" wp14:editId="15ECAD0B">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33B74CD9" wp14:editId="1A0BF01C">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57071C64" wp14:editId="46D90756">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0EFB545F" wp14:editId="5AE08A17">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731E7C6E" wp14:editId="73986D43">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39A4935C" wp14:editId="79B5F92D">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55251B7F" wp14:editId="0B9CC390">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1807186C" wp14:editId="6340A80C">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427BB2C5" wp14:editId="1E860450">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16603540" wp14:editId="03E796F8">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66975CD7" wp14:editId="57D19F83">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AF5202"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AF5202"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AF5202"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7F" w:rsidRDefault="00612F7F" w:rsidP="00CB58F6">
      <w:pPr>
        <w:spacing w:after="0" w:line="240" w:lineRule="auto"/>
      </w:pPr>
      <w:r>
        <w:separator/>
      </w:r>
    </w:p>
  </w:endnote>
  <w:endnote w:type="continuationSeparator" w:id="0">
    <w:p w:rsidR="00612F7F" w:rsidRDefault="00612F7F"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36193" w:rsidRDefault="00A36193">
        <w:pPr>
          <w:pStyle w:val="af0"/>
          <w:jc w:val="center"/>
        </w:pPr>
        <w:r>
          <w:fldChar w:fldCharType="begin"/>
        </w:r>
        <w:r>
          <w:instrText>PAGE   \* MERGEFORMAT</w:instrText>
        </w:r>
        <w:r>
          <w:fldChar w:fldCharType="separate"/>
        </w:r>
        <w:r w:rsidR="00AF5202">
          <w:rPr>
            <w:noProof/>
          </w:rPr>
          <w:t>2</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7F" w:rsidRDefault="00612F7F" w:rsidP="00CB58F6">
      <w:pPr>
        <w:spacing w:after="0" w:line="240" w:lineRule="auto"/>
      </w:pPr>
      <w:r>
        <w:separator/>
      </w:r>
    </w:p>
  </w:footnote>
  <w:footnote w:type="continuationSeparator" w:id="0">
    <w:p w:rsidR="00612F7F" w:rsidRDefault="00612F7F"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5202"/>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975C-AF63-4A35-BA52-76BE0386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160</Pages>
  <Words>44311</Words>
  <Characters>252577</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182</cp:revision>
  <cp:lastPrinted>2019-02-26T11:22:00Z</cp:lastPrinted>
  <dcterms:created xsi:type="dcterms:W3CDTF">2019-02-28T09:31:00Z</dcterms:created>
  <dcterms:modified xsi:type="dcterms:W3CDTF">2022-09-08T14:43:00Z</dcterms:modified>
</cp:coreProperties>
</file>