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749C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A110D8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ЭЛЕКТРООБОРУДОВАНИЕ ЭЛЕКТР</w:t>
      </w:r>
      <w:r>
        <w:rPr>
          <w:b/>
          <w:bCs/>
          <w:sz w:val="48"/>
          <w:szCs w:val="48"/>
        </w:rPr>
        <w:t>И</w:t>
      </w:r>
      <w:r>
        <w:rPr>
          <w:b/>
          <w:bCs/>
          <w:sz w:val="48"/>
          <w:szCs w:val="48"/>
        </w:rPr>
        <w:t>ЧЕСКИХ СЕТЕЙ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</w:t>
      </w:r>
      <w:proofErr w:type="gramStart"/>
      <w:r w:rsidRPr="00A8107D">
        <w:rPr>
          <w:szCs w:val="28"/>
        </w:rPr>
        <w:t>для</w:t>
      </w:r>
      <w:proofErr w:type="gramEnd"/>
      <w:r w:rsidRPr="00A8107D">
        <w:rPr>
          <w:szCs w:val="28"/>
        </w:rPr>
        <w:t xml:space="preserve">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69"/>
        <w:gridCol w:w="8261"/>
      </w:tblGrid>
      <w:tr w:rsidR="00724322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A110D8" w:rsidP="00A749C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Электрооборудование электрических сетей</w:t>
            </w:r>
            <w:r w:rsidR="00A8107D" w:rsidRPr="00A8107D">
              <w:rPr>
                <w:sz w:val="28"/>
                <w:szCs w:val="28"/>
              </w:rPr>
              <w:t>: методические указ</w:t>
            </w:r>
            <w:r w:rsidR="00A8107D" w:rsidRPr="00A8107D">
              <w:rPr>
                <w:sz w:val="28"/>
                <w:szCs w:val="28"/>
              </w:rPr>
              <w:t>а</w:t>
            </w:r>
            <w:r w:rsidR="00A8107D" w:rsidRPr="00A8107D">
              <w:rPr>
                <w:sz w:val="28"/>
                <w:szCs w:val="28"/>
              </w:rPr>
              <w:t>ния</w:t>
            </w:r>
            <w:r w:rsidR="00724322">
              <w:rPr>
                <w:sz w:val="28"/>
                <w:szCs w:val="28"/>
              </w:rPr>
              <w:t xml:space="preserve">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лукский гуманитарн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>о-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</w:t>
            </w:r>
            <w:r w:rsidR="000C392F">
              <w:rPr>
                <w:bCs/>
                <w:sz w:val="28"/>
                <w:szCs w:val="28"/>
              </w:rPr>
              <w:t>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A749C0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11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электрических сетей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</w:t>
      </w:r>
      <w:r w:rsidR="000E4F1C">
        <w:rPr>
          <w:rFonts w:ascii="Times New Roman" w:hAnsi="Times New Roman"/>
          <w:sz w:val="28"/>
          <w:szCs w:val="28"/>
        </w:rPr>
        <w:t>а</w:t>
      </w:r>
      <w:r w:rsidR="000E4F1C">
        <w:rPr>
          <w:rFonts w:ascii="Times New Roman" w:hAnsi="Times New Roman"/>
          <w:sz w:val="28"/>
          <w:szCs w:val="28"/>
        </w:rPr>
        <w:t xml:space="preserve">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A74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724322">
        <w:trPr>
          <w:trHeight w:val="630"/>
        </w:trPr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</w:rPr>
        <w:t>Электрооборудование электрических сетей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A110D8" w:rsidRPr="00A110D8">
        <w:rPr>
          <w:sz w:val="28"/>
          <w:szCs w:val="28"/>
        </w:rPr>
        <w:t>Электрооборудование электрических сетей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</w:t>
      </w:r>
      <w:proofErr w:type="gramStart"/>
      <w:r w:rsidRPr="00B503AA">
        <w:rPr>
          <w:sz w:val="28"/>
          <w:szCs w:val="28"/>
        </w:rPr>
        <w:t xml:space="preserve"> ,</w:t>
      </w:r>
      <w:proofErr w:type="gramEnd"/>
      <w:r w:rsidRPr="00B503AA">
        <w:rPr>
          <w:sz w:val="28"/>
          <w:szCs w:val="28"/>
        </w:rPr>
        <w:t xml:space="preserve">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формирование знаний о конструкции элементов линий электроперед</w:t>
      </w:r>
      <w:r w:rsidRPr="00A110D8">
        <w:rPr>
          <w:bCs/>
          <w:sz w:val="28"/>
          <w:szCs w:val="28"/>
        </w:rPr>
        <w:t>а</w:t>
      </w:r>
      <w:r w:rsidRPr="00A110D8">
        <w:rPr>
          <w:bCs/>
          <w:sz w:val="28"/>
          <w:szCs w:val="28"/>
        </w:rPr>
        <w:t>чи, составлении схем замещения, расчета основных режимов электрических сетей и систем при сборе и анализе данных для проектирования, составления конкурентоспособных вариантов технических решений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 xml:space="preserve"> - развивать навыки определения неисправностей и технического сост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яния электрооборудования электрических сетей;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проведения испытаний и наладки электр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оборудования электрических сетей, а также анализа режимов работы систем электроснабжения объектов, выбора оптимального варианта,  учитывая им</w:t>
      </w:r>
      <w:r w:rsidRPr="00A110D8">
        <w:rPr>
          <w:bCs/>
          <w:sz w:val="28"/>
          <w:szCs w:val="28"/>
        </w:rPr>
        <w:t>е</w:t>
      </w:r>
      <w:r w:rsidRPr="00A110D8">
        <w:rPr>
          <w:bCs/>
          <w:sz w:val="28"/>
          <w:szCs w:val="28"/>
        </w:rPr>
        <w:t>ющиеся условия и ресурсы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работы с учетом требований техники бе</w:t>
      </w:r>
      <w:r w:rsidRPr="00A110D8">
        <w:rPr>
          <w:bCs/>
          <w:sz w:val="28"/>
          <w:szCs w:val="28"/>
        </w:rPr>
        <w:t>з</w:t>
      </w:r>
      <w:r w:rsidRPr="00A110D8">
        <w:rPr>
          <w:bCs/>
          <w:sz w:val="28"/>
          <w:szCs w:val="28"/>
        </w:rPr>
        <w:t>опасности на электроустановках, организаций и предприятий.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Pr="00A110D8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10D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552"/>
        <w:gridCol w:w="4819"/>
      </w:tblGrid>
      <w:tr w:rsidR="00D45720" w:rsidRPr="00D45720" w:rsidTr="00D45720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наименование формируемых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ние индикатора д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стижения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D45720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D45720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 Способен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лизировать режимы работы систем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троснабжения объе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ПК*-2-В-2 2.2</w:t>
            </w:r>
            <w:proofErr w:type="gramStart"/>
            <w:r w:rsidRPr="00D45720">
              <w:rPr>
                <w:sz w:val="28"/>
                <w:szCs w:val="28"/>
              </w:rPr>
              <w:t xml:space="preserve"> А</w:t>
            </w:r>
            <w:proofErr w:type="gramEnd"/>
            <w:r w:rsidRPr="00D45720">
              <w:rPr>
                <w:sz w:val="28"/>
                <w:szCs w:val="28"/>
              </w:rPr>
              <w:t>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лизирует режимы работы систем электроснабжения объектов, выбирает оптимальный вар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ант,  учитывая имеющиеся условия и ресурсы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 xml:space="preserve">методы регулирования напряжения и частоты в электрических сетях и системах; 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методы снижения потерь мощности и электроэнергии, для выбора оптимального варианта,  учитывая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специфику электромонтажных работ, а также приспособления, инструменты, аппаратуру и средства измерений, применяемые при техническом обслуживании электрооборудования.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анализ режимов работы систем электроснабжения объектов, выбирать оптимальный вариант,  уч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выполнять осмотр, проверять работоспособность, определять повреждения электрооборудования электрических сетей.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определения технического состояния электрооборудования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трических сетей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 Способен и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ПК*-4-В-2 4.2 Сп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собен применять правила техники безопасности в электроустановках для использования в области профе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организации и контроля р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бочего места в соответствии с треб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ваниями эргономики при работе с электрооборудованием;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ТБ, ПБ и санитарно-гигиенические требования в ходе о</w:t>
            </w:r>
            <w:r w:rsidRPr="00D45720">
              <w:rPr>
                <w:sz w:val="28"/>
                <w:szCs w:val="28"/>
              </w:rPr>
              <w:t>р</w:t>
            </w:r>
            <w:r w:rsidRPr="00D45720">
              <w:rPr>
                <w:sz w:val="28"/>
                <w:szCs w:val="28"/>
              </w:rPr>
              <w:t>ганизации технологического процесса при работе на электроустановках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- применять оборудование и инстр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мент в ходе выполнения технологич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ского процесса;</w:t>
            </w:r>
          </w:p>
          <w:p w:rsidR="00D45720" w:rsidRPr="00D45720" w:rsidRDefault="00D45720" w:rsidP="00D4572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sz w:val="28"/>
                <w:szCs w:val="28"/>
              </w:rPr>
              <w:t>- применять правила техники безопа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ности при работе на  электроустано</w:t>
            </w:r>
            <w:r w:rsidRPr="00D45720">
              <w:rPr>
                <w:sz w:val="28"/>
                <w:szCs w:val="28"/>
              </w:rPr>
              <w:t>в</w:t>
            </w:r>
            <w:r w:rsidRPr="00D45720">
              <w:rPr>
                <w:sz w:val="28"/>
                <w:szCs w:val="28"/>
              </w:rPr>
              <w:t>ках области профессиональной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работы с учетом требов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ний техники безопасности на электр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установках, организаций и предпри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ПК*-6 Способен с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ставлять технические схемы станций и по</w:t>
            </w:r>
            <w:r w:rsidRPr="00D45720">
              <w:rPr>
                <w:sz w:val="28"/>
                <w:szCs w:val="28"/>
              </w:rPr>
              <w:t>д</w:t>
            </w:r>
            <w:r w:rsidRPr="00D45720">
              <w:rPr>
                <w:sz w:val="28"/>
                <w:szCs w:val="28"/>
              </w:rPr>
              <w:t>станций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ПК*-6-В-1 6.1</w:t>
            </w:r>
            <w:proofErr w:type="gramStart"/>
            <w:r w:rsidRPr="00D45720">
              <w:rPr>
                <w:sz w:val="28"/>
                <w:szCs w:val="28"/>
              </w:rPr>
              <w:t xml:space="preserve"> В</w:t>
            </w:r>
            <w:proofErr w:type="gramEnd"/>
            <w:r w:rsidRPr="00D45720">
              <w:rPr>
                <w:sz w:val="28"/>
                <w:szCs w:val="28"/>
              </w:rPr>
              <w:t>ы</w:t>
            </w:r>
            <w:r w:rsidRPr="00D45720">
              <w:rPr>
                <w:sz w:val="28"/>
                <w:szCs w:val="28"/>
              </w:rPr>
              <w:t>полняет сбор и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 данных для проектирования, составляет конк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рентоспособные 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рианты технических решений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оформления технической документации в процессе техническ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го обслуживания электрооборудования для проектирования, составления ко</w:t>
            </w:r>
            <w:r w:rsidRPr="00D45720">
              <w:rPr>
                <w:sz w:val="28"/>
                <w:szCs w:val="28"/>
              </w:rPr>
              <w:t>н</w:t>
            </w:r>
            <w:r w:rsidRPr="00D45720">
              <w:rPr>
                <w:sz w:val="28"/>
                <w:szCs w:val="28"/>
              </w:rPr>
              <w:t>курентоспособных вариантов технич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ских решений;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теорию экономико-математических моделей элементов электрических сетей в технико-экономических расчетах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сбор и анализ данных при проектировании систем электросна</w:t>
            </w:r>
            <w:r w:rsidRPr="00D45720">
              <w:rPr>
                <w:sz w:val="28"/>
                <w:szCs w:val="28"/>
              </w:rPr>
              <w:t>б</w:t>
            </w:r>
            <w:r w:rsidRPr="00D45720">
              <w:rPr>
                <w:sz w:val="28"/>
                <w:szCs w:val="28"/>
              </w:rPr>
              <w:t>жения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 xml:space="preserve">- навыками анализа режимов работы электроэнергетических систем, при проектировании, составлении конкурентоспособных вариантов технических решений </w:t>
            </w:r>
          </w:p>
        </w:tc>
      </w:tr>
    </w:tbl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A110D8">
        <w:rPr>
          <w:rFonts w:ascii="Times New Roman" w:hAnsi="Times New Roman" w:cs="Times New Roman"/>
          <w:sz w:val="28"/>
          <w:szCs w:val="28"/>
        </w:rPr>
        <w:t>«</w:t>
      </w:r>
      <w:r w:rsidR="00A110D8" w:rsidRPr="00A110D8">
        <w:rPr>
          <w:rFonts w:ascii="Times New Roman" w:hAnsi="Times New Roman" w:cs="Times New Roman"/>
          <w:sz w:val="28"/>
          <w:szCs w:val="28"/>
        </w:rPr>
        <w:t>Электрооборудование электрических сетей</w:t>
      </w:r>
      <w:r w:rsidR="00477D55" w:rsidRPr="00A110D8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</w:t>
      </w:r>
      <w:r w:rsidRPr="00A628A9">
        <w:rPr>
          <w:rFonts w:ascii="Times New Roman" w:hAnsi="Times New Roman" w:cs="Times New Roman"/>
          <w:sz w:val="28"/>
          <w:szCs w:val="28"/>
        </w:rPr>
        <w:t>в</w:t>
      </w:r>
      <w:r w:rsidRPr="00A628A9">
        <w:rPr>
          <w:rFonts w:ascii="Times New Roman" w:hAnsi="Times New Roman" w:cs="Times New Roman"/>
          <w:sz w:val="28"/>
          <w:szCs w:val="28"/>
        </w:rPr>
        <w:t xml:space="preserve">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лекционных  занятиях преподаватель не только сообщает или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022517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022517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02251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8446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02251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02251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2251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02251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2251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724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17" w:rsidRDefault="00022517" w:rsidP="00817BE6">
      <w:pPr>
        <w:spacing w:after="0" w:line="240" w:lineRule="auto"/>
      </w:pPr>
      <w:r>
        <w:separator/>
      </w:r>
    </w:p>
  </w:endnote>
  <w:endnote w:type="continuationSeparator" w:id="0">
    <w:p w:rsidR="00022517" w:rsidRDefault="0002251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9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17" w:rsidRDefault="00022517" w:rsidP="00817BE6">
      <w:pPr>
        <w:spacing w:after="0" w:line="240" w:lineRule="auto"/>
      </w:pPr>
      <w:r>
        <w:separator/>
      </w:r>
    </w:p>
  </w:footnote>
  <w:footnote w:type="continuationSeparator" w:id="0">
    <w:p w:rsidR="00022517" w:rsidRDefault="0002251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2517"/>
    <w:rsid w:val="000303CA"/>
    <w:rsid w:val="00047218"/>
    <w:rsid w:val="000733D5"/>
    <w:rsid w:val="000B6743"/>
    <w:rsid w:val="000C392F"/>
    <w:rsid w:val="000E1E93"/>
    <w:rsid w:val="000E4F1C"/>
    <w:rsid w:val="000E6D5B"/>
    <w:rsid w:val="000F6DC6"/>
    <w:rsid w:val="001229C6"/>
    <w:rsid w:val="00151C92"/>
    <w:rsid w:val="001A6D1C"/>
    <w:rsid w:val="001B1A33"/>
    <w:rsid w:val="00243A1A"/>
    <w:rsid w:val="002448F0"/>
    <w:rsid w:val="00252D95"/>
    <w:rsid w:val="00261986"/>
    <w:rsid w:val="0028456E"/>
    <w:rsid w:val="00290577"/>
    <w:rsid w:val="00296EA5"/>
    <w:rsid w:val="002A3413"/>
    <w:rsid w:val="002C1D37"/>
    <w:rsid w:val="00305815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24322"/>
    <w:rsid w:val="00745272"/>
    <w:rsid w:val="00771419"/>
    <w:rsid w:val="007B02EA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8771F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110D8"/>
    <w:rsid w:val="00A14108"/>
    <w:rsid w:val="00A215C8"/>
    <w:rsid w:val="00A628A9"/>
    <w:rsid w:val="00A749C0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45720"/>
    <w:rsid w:val="00D549EA"/>
    <w:rsid w:val="00D728DC"/>
    <w:rsid w:val="00D757EE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3066-4617-4240-B233-11FFF4F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42</cp:revision>
  <dcterms:created xsi:type="dcterms:W3CDTF">2016-10-09T16:26:00Z</dcterms:created>
  <dcterms:modified xsi:type="dcterms:W3CDTF">2021-11-23T05:28:00Z</dcterms:modified>
</cp:coreProperties>
</file>