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</w:t>
      </w:r>
      <w:r w:rsidR="007D2DAF">
        <w:rPr>
          <w:i/>
          <w:sz w:val="24"/>
        </w:rPr>
        <w:t>.В.ДВ.6.2 Социология</w:t>
      </w:r>
      <w:r>
        <w:rPr>
          <w:i/>
          <w:sz w:val="24"/>
        </w:rPr>
        <w:t>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6C2401" w:rsidP="00B540AF">
      <w:pPr>
        <w:pStyle w:val="ReportHead"/>
        <w:suppressAutoHyphens/>
        <w:rPr>
          <w:sz w:val="24"/>
        </w:rPr>
      </w:pPr>
      <w:r>
        <w:rPr>
          <w:sz w:val="24"/>
        </w:rPr>
        <w:t>2016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C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C240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7D2DA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C240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3B214D">
        <w:pPr>
          <w:pStyle w:val="a7"/>
          <w:jc w:val="center"/>
        </w:pPr>
        <w:fldSimple w:instr="PAGE   \* MERGEFORMAT">
          <w:r w:rsidR="007D2DAF">
            <w:rPr>
              <w:noProof/>
            </w:rPr>
            <w:t>5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B214D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2401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97246"/>
    <w:rsid w:val="007B14A2"/>
    <w:rsid w:val="007B1540"/>
    <w:rsid w:val="007B7050"/>
    <w:rsid w:val="007B756F"/>
    <w:rsid w:val="007C37D2"/>
    <w:rsid w:val="007D2DAF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32AF-2AE1-40BE-95C5-E5643FD9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26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2019-11-16T13:29:00Z</dcterms:modified>
</cp:coreProperties>
</file>