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высшего </w:t>
      </w:r>
      <w:r w:rsidR="008F4C9F" w:rsidRPr="00A24EB7">
        <w:rPr>
          <w:rFonts w:ascii="Times New Roman" w:hAnsi="Times New Roman" w:cs="Times New Roman"/>
          <w:sz w:val="28"/>
          <w:szCs w:val="26"/>
        </w:rPr>
        <w:t xml:space="preserve">профессионального </w:t>
      </w:r>
      <w:r w:rsidRPr="00A24EB7">
        <w:rPr>
          <w:rFonts w:ascii="Times New Roman" w:hAnsi="Times New Roman" w:cs="Times New Roman"/>
          <w:sz w:val="28"/>
          <w:szCs w:val="26"/>
        </w:rPr>
        <w:t>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24EB7">
        <w:rPr>
          <w:rFonts w:ascii="Times New Roman" w:hAnsi="Times New Roman" w:cs="Times New Roman"/>
          <w:i/>
          <w:sz w:val="28"/>
          <w:szCs w:val="28"/>
        </w:rPr>
        <w:t>«</w:t>
      </w:r>
      <w:r w:rsidR="006D1B02" w:rsidRPr="00A24EB7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A24EB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4678CB" w:rsidRPr="004678CB">
        <w:rPr>
          <w:rFonts w:ascii="Times New Roman" w:hAnsi="Times New Roman" w:cs="Times New Roman"/>
          <w:b/>
          <w:sz w:val="28"/>
        </w:rPr>
        <w:t>Эксплуатационные материалы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 w:rsidRPr="00A24EB7">
        <w:rPr>
          <w:i/>
          <w:u w:val="single"/>
        </w:rPr>
        <w:t>Заочная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Бузулук 201</w:t>
      </w:r>
      <w:r w:rsidR="008F4C9F" w:rsidRPr="00A24EB7">
        <w:rPr>
          <w:rFonts w:ascii="Times New Roman" w:hAnsi="Times New Roman" w:cs="Times New Roman"/>
          <w:sz w:val="28"/>
          <w:szCs w:val="28"/>
        </w:rPr>
        <w:t>5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4678CB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CB">
        <w:rPr>
          <w:rFonts w:ascii="Times New Roman" w:hAnsi="Times New Roman" w:cs="Times New Roman"/>
          <w:sz w:val="28"/>
        </w:rPr>
        <w:t>Эксплуатационные материалы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 Бузулук: БГТИ (филиал) ОГУ, 2015.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«___»______________2015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заочного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4678CB">
        <w:rPr>
          <w:b/>
          <w:sz w:val="28"/>
          <w:szCs w:val="28"/>
        </w:rPr>
        <w:t xml:space="preserve">Цель (цели) </w:t>
      </w:r>
      <w:r w:rsidRPr="004678CB">
        <w:rPr>
          <w:sz w:val="28"/>
          <w:szCs w:val="28"/>
        </w:rPr>
        <w:t>освоения дисциплины:</w:t>
      </w:r>
      <w:r w:rsidRPr="004678CB">
        <w:rPr>
          <w:color w:val="000000"/>
          <w:sz w:val="28"/>
          <w:szCs w:val="28"/>
        </w:rPr>
        <w:t xml:space="preserve"> формирование знаний и навыков у студентов, позволяющих свободно владеть сложным комплексом эксплуатационно-технических требований, предъявляемых к качеству современных эксплуатационных материалов.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678CB">
        <w:rPr>
          <w:b/>
          <w:sz w:val="28"/>
          <w:szCs w:val="28"/>
        </w:rPr>
        <w:t xml:space="preserve">Задачи: 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78CB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показатели качества топлив и смазочных материалов, прогнозировать экономические и экологические последствия применения конструкционных эксплуатационных материалов;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 применять научные основы производства и  использования топливно-энергетических ресурсов при эксплуатации автомобилей;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-определять нормы расхода горюче-смазочных материалов.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012B04" w:rsidRDefault="00DE046A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012B04">
        <w:rPr>
          <w:rFonts w:cs="Times New Roman"/>
          <w:b/>
          <w:szCs w:val="28"/>
        </w:rPr>
        <w:t xml:space="preserve">Тема 1. </w:t>
      </w:r>
      <w:r w:rsidR="004678CB" w:rsidRPr="00012B04">
        <w:rPr>
          <w:rFonts w:cs="Times New Roman"/>
          <w:b/>
          <w:color w:val="000000"/>
          <w:kern w:val="28"/>
          <w:szCs w:val="28"/>
        </w:rPr>
        <w:t>Определение плотности нефтепродуктов</w:t>
      </w:r>
    </w:p>
    <w:p w:rsidR="006D1B02" w:rsidRPr="00012B04" w:rsidRDefault="006D1B02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измеряется массой тела, заключенной в единице его объема, и в системе единиц см, г, с, имеет размерность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представляет собой отношение массы тела к массе воды в том же объеме и является отвлеченным числом, не имею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щим размерности. Так как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в системе единиц см, г, с за единицу массы принимается масса 1 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 воды при температуре 4°С, то плотность, выраженная 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, будет численно равна плотности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нефтепродукта относится к нормальной температуре 20°С и к плотности воды при температуре 4°С, принятой за еди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ницу. Эта плотность (в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), обозначаемая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, численно равна плотности (представляющей собой отвлеченное число)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тех случаях, когда плотность нефтепродуктов, по условиям опыта, определяется не при температуре 20° С, а при другой тем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пературе 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>°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2B04">
        <w:rPr>
          <w:rFonts w:ascii="Times New Roman" w:hAnsi="Times New Roman" w:cs="Times New Roman"/>
          <w:sz w:val="28"/>
          <w:szCs w:val="28"/>
        </w:rPr>
        <w:t xml:space="preserve">ее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может быть пересчитано в нормаль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указанным ниже способом.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нефтепродуктов определяют при заводском контро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ле, при сдаче-приемке  с целью   определения   количества    нефтепродукта по его объему (или для обратного пересчета) и в научно-исследовательских работах.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Ареометром (нефтеденсиметром) и весами определяют плот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ность светлых и темных нефтепродуктов и масел, имеющих вяз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кость при 50° С не более 120 сСт, а также более вязких нефтепро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дуктов, не выделяющих осадка при разбавлении.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Пикнометром определяют плотность всех нефтепродуктов.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плотность?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сходимость?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воспроизводимость?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012B04" w:rsidRDefault="001C5D29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29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кинематической вязкости нефтепродуктов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Кинематическая вязкость – важный физико-механический показатель характеризующий смазочные материалы и введенный во все классификации. Кинематическая вязкость – отношение динамической вязкости жидкости к плотности при той же температуре. Эта мера сопротивления жидкости течению под влиянием гравитационных сил. Сущность метода определения кинематической вязкости заключается в измерении истечения определенного объема испытуемого материала под влиянием силы тяжести.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Метод предусматривает две категории измерений: точные и технические.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Точные измерения проводят при арбитражном испытании, а также в тех случаях, когда вязкость нефтепродукта имеет значе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ние, близкое к предельному (наименьшему или наибольшему), установленному стандартом или техническими условиями на дан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ный нефтепродукт.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Технические измерения проводят при приемо-сдаточных опе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рациях, при которых не требуется проводить точные измерения.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7 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кинематическая вязкость?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Какие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две категории измерений предусматривает метод определения вязкости?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Как проводится подготовка к испытанию?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По какой формуле вычисляют кинематическую вязкость?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фракционного состава автомобильных бензинов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– это способность жидкого топлива переходить в парообразное состояние при данных условиях.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давления. Пуск двигателя, время его прогрева и приемистость, расход топлива и износ цилиндропоршневой группы в значительной степени зависят от испаряемости топлива. Процесс испарения не только предшествует воспламенению и горению, но в значительной мере определяет скорость этих процессов, а следовательно, надежность и эффективность работы двигателя. Испаряемость топлива оценивают по совокупности двух главных показателей: теплоте испарения и фракционному составу.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Под фракционным составом топлива понимают содержание в нем различных фракций, выкипающих в определенных температурных пределах. Фракционный состав выражается в объемных % или массовых %.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 xml:space="preserve">Фракция топлива – это часть топлива, характеризуемая определенными температурными пределами выкипания.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Фракции бензина условно подразделяются на </w:t>
      </w:r>
      <w:r w:rsidRPr="00012B04">
        <w:rPr>
          <w:rFonts w:ascii="Times New Roman" w:hAnsi="Times New Roman" w:cs="Times New Roman"/>
          <w:b/>
          <w:sz w:val="28"/>
          <w:szCs w:val="28"/>
        </w:rPr>
        <w:t>пусковую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содержащую самые легкоиспаряющиеся углеводороды, входящие в первые 10% отгона; </w:t>
      </w:r>
      <w:r w:rsidRPr="00012B04">
        <w:rPr>
          <w:rFonts w:ascii="Times New Roman" w:hAnsi="Times New Roman" w:cs="Times New Roman"/>
          <w:b/>
          <w:sz w:val="28"/>
          <w:szCs w:val="28"/>
        </w:rPr>
        <w:t>рабочую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включающую последующие 80% состава бензина, и </w:t>
      </w:r>
      <w:r w:rsidRPr="00012B04">
        <w:rPr>
          <w:rFonts w:ascii="Times New Roman" w:hAnsi="Times New Roman" w:cs="Times New Roman"/>
          <w:b/>
          <w:sz w:val="28"/>
          <w:szCs w:val="28"/>
        </w:rPr>
        <w:t>концевую</w:t>
      </w:r>
      <w:r w:rsidRPr="00012B04">
        <w:rPr>
          <w:rFonts w:ascii="Times New Roman" w:hAnsi="Times New Roman" w:cs="Times New Roman"/>
          <w:sz w:val="28"/>
          <w:szCs w:val="28"/>
        </w:rPr>
        <w:t>, в которую входят последние 10% бензина. В соответствии с таким делением эксплуатационные свойства бензина оценивают по пяти характерным точкам кривой фракционного состава: температуре начала перегонки, температуре перегонки 10%, 50%, 90% количества бензина и температуре конца перегонки.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начала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нп</w:t>
      </w:r>
      <w:r w:rsidRPr="00012B04">
        <w:rPr>
          <w:rFonts w:ascii="Times New Roman" w:hAnsi="Times New Roman" w:cs="Times New Roman"/>
          <w:b/>
          <w:sz w:val="28"/>
          <w:szCs w:val="28"/>
        </w:rPr>
        <w:t>) и перегонки 10%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10%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пусковые качества бензина, т.е.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окружающего воздуха при пуске двигателя, тем больше должен иметь бензин легких фракций и тем ниже должна быть их температура кипения. Это качество бензина характеризуется температурами начала его перегонки и перегонки 10%.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>Однако чрезмерно низкая температура перегонки 10% приводит к образованию в прогретом двигателе «паровых пробок» в топливопроводах и каналах карбюратора. При этом горючая смесь значительно обедняется. Практически это приводит к тому, что двигатель теряет мощность, начинает «чихать» и из-за перебоев подачи топлива может остановиться.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50% бензина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50%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его способность обеспечивать быстрый прогрев и приемистость (быстрый переход двигателя на большие обороты) двигателей.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перегонки 50% бензина, тем выше его испаряемость, лучше приемистость и устойчивость работы двигателя на этом бензине.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90%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90%</w:t>
      </w:r>
      <w:r w:rsidRPr="00012B04">
        <w:rPr>
          <w:rFonts w:ascii="Times New Roman" w:hAnsi="Times New Roman" w:cs="Times New Roman"/>
          <w:b/>
          <w:sz w:val="28"/>
          <w:szCs w:val="28"/>
        </w:rPr>
        <w:t>) и конца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кп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наличие в бензине тяжелых фракций, которые испаряются в последнюю очередь. С повышением этих температур увеличивается расход бензина, так как тяжелые фракции не успевают сгорать. Больше бензина проникает в картер, смывая масло со стенок цилиндра и разжижая масло в картере, что ведет к износу деталей и повышенному расходу масла.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Оценка качества бензина по внешним признакам?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испаряемость?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фракционный состав?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Что характеризует температурный показатель перегонки?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вспышки дизельного топлива в закрытом тигле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самой низкой температуры горючего вещества, при которой в условиях испыта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ния над его поверхностью образуется смесь паров или газов с воз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духом, способная вспыхивать в воздухе от источника зажигания, но скорость их образования еще недостаточна для последующего горения. Для этого испытуемый продукт нагревается в закрытом тигле с постоянной скоростью при непрерывном перемешивании и испытывается на вспышку через определенные интервалы темпе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ратур. Метод используется для оценки качества продукта и для классификации производств, помещений и установок по степени пожарной опасности.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температура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Методы определения температуры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Когда вводятся поправки?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расхождения температуры вспышки допускаются между параллельными определениями?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наличия воды в маслах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Наличие влаги в смазочных материалах в большинстве случаев отрицательно сказывается на смазочном материале, так как вода приводит к гидролизу присадок масел, что, в свою очередь, приводит к повышению коррозионного разрушения пар трибосопряжения.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тоже время в связи с высокими теплоемкостью и теплопроводностью вода является основой смазывающе-охлаждающих жидкостей (СОЖ) для процессов требующих отвода тепла, например, при механической обработке резанием.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связи с этим, знание качества смазочного материала по содержанию влаги в нем весьма важно, а владение методикой определения влаги в смазочном материале желательно. В основу методики количественного определения содержания воды в смазочных материалах взяты положения стандарта, изложенные в ГОСТ 2477-65 (с продолжением срока действия).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Влияние воды на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Для чего добавляют воду в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следы воды в смазочном материале?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4 Как проверить отсутствие воды в смазочном материале? 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EB7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содержания механических примесей  в смазочных материалах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Присутствие механических примесей в смазочных материалах весьма нежелательно, так как в соприкасающихся парах они ведут себя как абразивные материалы, приводящие к истиранию трибосопряжения. К тому же механические примеси могут привести к засорению маслопроводов. Для предотвращения нежелательных последствий смазочные масла постоянно пропускают через фильтры грубой и тонкой очистки. Все это приводит к потере мощности и перерасходу топлива, но, тем не менее, это выгодно, так как предотвращает преждевременный выход из строя оборудования.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фильтровании испытуемого продукта с предварительным растворением медленно фильтруемых продуктов в бензине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 xml:space="preserve">или бензольного раствора, промывании осадка на фильтре с последующим высушиванием и взвешиванием фильтра.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вред механических примесей в смазочных материалах?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избавиться от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В чем сущность метода определения содержания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Какое расхождение во взвешивании считается допустимым?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012B04">
        <w:rPr>
          <w:rFonts w:ascii="Times New Roman" w:hAnsi="Times New Roman" w:cs="Times New Roman"/>
          <w:b/>
          <w:sz w:val="28"/>
          <w:szCs w:val="28"/>
        </w:rPr>
        <w:t>Определение наличия в нефтепродуктах водорастворимых кислот и щелочей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извлечении водорастворимых кислот и щелочей из нефтепродуктов водой или водным раство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ром спирта и определения величины рН водной вытяжки рН-метром или реакции среды с помощью индикаторов.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наличия водорастворимых кислот и щелочей?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На что указывает окрашивание раствора в розовый или красный цвет?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12B04" w:rsidRPr="00012B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2B04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каплепадения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температуры, при ко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торой происходит падение первой капли или касание дна пробир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ки столбиком нефтепродукта, помещенного в чашечку прибора и нагреваемого в строго определенных условиях.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температуры?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принимают за температуру каплепадения?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допускаются расхождения между результатами?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0E580E" w:rsidRPr="00A24EB7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lastRenderedPageBreak/>
        <w:t xml:space="preserve">2.3 </w:t>
      </w:r>
      <w:r w:rsidR="000E580E" w:rsidRPr="00A24EB7">
        <w:rPr>
          <w:b/>
          <w:bCs/>
          <w:color w:val="000000"/>
          <w:sz w:val="28"/>
          <w:szCs w:val="28"/>
        </w:rPr>
        <w:t>Методические рекомендации по подготовке к тестированию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D9" w:rsidRDefault="00F00BD9" w:rsidP="00382D68">
      <w:pPr>
        <w:spacing w:after="0" w:line="240" w:lineRule="auto"/>
      </w:pPr>
      <w:r>
        <w:separator/>
      </w:r>
    </w:p>
  </w:endnote>
  <w:endnote w:type="continuationSeparator" w:id="0">
    <w:p w:rsidR="00F00BD9" w:rsidRDefault="00F00BD9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073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D9" w:rsidRDefault="00F00BD9" w:rsidP="00382D68">
      <w:pPr>
        <w:spacing w:after="0" w:line="240" w:lineRule="auto"/>
      </w:pPr>
      <w:r>
        <w:separator/>
      </w:r>
    </w:p>
  </w:footnote>
  <w:footnote w:type="continuationSeparator" w:id="0">
    <w:p w:rsidR="00F00BD9" w:rsidRDefault="00F00BD9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12B04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55073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678CB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40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00BD9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28B27-7D88-4CCB-9DA9-7FA16C3F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29</cp:revision>
  <cp:lastPrinted>2020-01-14T16:09:00Z</cp:lastPrinted>
  <dcterms:created xsi:type="dcterms:W3CDTF">2017-09-05T11:04:00Z</dcterms:created>
  <dcterms:modified xsi:type="dcterms:W3CDTF">2020-01-14T16:09:00Z</dcterms:modified>
</cp:coreProperties>
</file>