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Pr="00AE123E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E123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AE123E" w:rsidRDefault="00C045CF" w:rsidP="001E11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учреждения</w:t>
      </w:r>
      <w:r w:rsidR="001E1188" w:rsidRPr="00AE123E">
        <w:rPr>
          <w:rFonts w:ascii="Times New Roman" w:hAnsi="Times New Roman" w:cs="Times New Roman"/>
          <w:sz w:val="24"/>
          <w:szCs w:val="24"/>
        </w:rPr>
        <w:t xml:space="preserve"> </w:t>
      </w:r>
      <w:r w:rsidRPr="00AE123E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AE123E" w:rsidRPr="00AE123E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AE123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5CF" w:rsidRPr="00AE123E" w:rsidRDefault="00C045CF" w:rsidP="00C045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123E">
        <w:rPr>
          <w:rFonts w:ascii="Times New Roman" w:hAnsi="Times New Roman" w:cs="Times New Roman"/>
          <w:sz w:val="24"/>
          <w:szCs w:val="24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F7530" w:rsidRPr="009F7530" w:rsidRDefault="009F7530" w:rsidP="009F7530">
      <w:pPr>
        <w:pStyle w:val="ReportHead"/>
        <w:suppressAutoHyphens/>
        <w:spacing w:before="120"/>
        <w:rPr>
          <w:sz w:val="24"/>
          <w:szCs w:val="24"/>
        </w:rPr>
      </w:pPr>
      <w:r w:rsidRPr="009F7530">
        <w:rPr>
          <w:sz w:val="24"/>
          <w:szCs w:val="24"/>
        </w:rPr>
        <w:t>«Б.1.В.ДВ.3.2 Международные стандарты финансовой отчетности</w:t>
      </w:r>
      <w:r>
        <w:rPr>
          <w:sz w:val="24"/>
          <w:szCs w:val="24"/>
        </w:rPr>
        <w:t xml:space="preserve"> </w:t>
      </w:r>
      <w:r w:rsidRPr="009F7530">
        <w:rPr>
          <w:sz w:val="24"/>
          <w:szCs w:val="24"/>
        </w:rPr>
        <w:t>в банковском деле»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B01D9" w:rsidRDefault="00AB01D9" w:rsidP="00AB01D9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9F7530" w:rsidRDefault="009F7530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3E50C8">
        <w:rPr>
          <w:rFonts w:ascii="Times New Roman" w:hAnsi="Times New Roman" w:cs="Times New Roman"/>
          <w:sz w:val="24"/>
        </w:rPr>
        <w:t>5</w:t>
      </w:r>
    </w:p>
    <w:p w:rsidR="009F7530" w:rsidRPr="0000650D" w:rsidRDefault="009F7530" w:rsidP="009F7530">
      <w:pPr>
        <w:pStyle w:val="af1"/>
        <w:ind w:firstLine="0"/>
        <w:jc w:val="both"/>
        <w:rPr>
          <w:b w:val="0"/>
          <w:szCs w:val="28"/>
        </w:rPr>
      </w:pPr>
      <w:r w:rsidRPr="009F7530">
        <w:rPr>
          <w:b w:val="0"/>
          <w:szCs w:val="28"/>
        </w:rPr>
        <w:lastRenderedPageBreak/>
        <w:t>Международные стандарты финансовой отчетности в банковском деле</w:t>
      </w:r>
      <w:proofErr w:type="gramStart"/>
      <w:r>
        <w:rPr>
          <w:b w:val="0"/>
          <w:szCs w:val="28"/>
        </w:rPr>
        <w:t xml:space="preserve"> </w:t>
      </w:r>
      <w:r w:rsidRPr="009F7530">
        <w:rPr>
          <w:b w:val="0"/>
          <w:szCs w:val="28"/>
        </w:rPr>
        <w:t>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3E50C8">
        <w:rPr>
          <w:b w:val="0"/>
          <w:szCs w:val="28"/>
        </w:rPr>
        <w:t>5</w:t>
      </w:r>
      <w:r w:rsidRPr="0000650D">
        <w:rPr>
          <w:b w:val="0"/>
          <w:szCs w:val="28"/>
        </w:rPr>
        <w:t xml:space="preserve">. </w:t>
      </w: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pStyle w:val="af1"/>
        <w:jc w:val="both"/>
      </w:pPr>
    </w:p>
    <w:p w:rsidR="009F7530" w:rsidRDefault="009F7530" w:rsidP="009F753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pStyle w:val="a7"/>
        <w:contextualSpacing/>
        <w:rPr>
          <w:sz w:val="28"/>
          <w:szCs w:val="28"/>
        </w:rPr>
      </w:pPr>
    </w:p>
    <w:p w:rsidR="009F7530" w:rsidRDefault="009F7530" w:rsidP="009F753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профиль подготовки «Финансы и кредит», квалификация академический бакалавр. </w:t>
      </w:r>
      <w:proofErr w:type="gramEnd"/>
    </w:p>
    <w:p w:rsidR="009F7530" w:rsidRPr="00151E90" w:rsidRDefault="009F7530" w:rsidP="009F75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дисциплине </w:t>
      </w:r>
      <w:r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Pr="00CA04A0">
        <w:rPr>
          <w:rFonts w:ascii="Times New Roman" w:hAnsi="Times New Roman" w:cs="Times New Roman"/>
          <w:sz w:val="28"/>
        </w:rPr>
        <w:t>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9F7530"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</w:t>
      </w:r>
      <w:r>
        <w:rPr>
          <w:rFonts w:ascii="Times New Roman" w:hAnsi="Times New Roman"/>
          <w:sz w:val="28"/>
          <w:szCs w:val="28"/>
        </w:rPr>
        <w:lastRenderedPageBreak/>
        <w:t xml:space="preserve">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pPr w:leftFromText="180" w:rightFromText="180" w:vertAnchor="text" w:tblpY="1"/>
        <w:tblOverlap w:val="never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AE123E" w:rsidRPr="00997BA4" w:rsidTr="00AE123E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AE123E" w:rsidRPr="00AE123E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AE123E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E123E" w:rsidRPr="00AE123E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AE123E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E123E" w:rsidRPr="00AE123E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AE123E">
              <w:rPr>
                <w:sz w:val="28"/>
                <w:szCs w:val="28"/>
              </w:rPr>
              <w:t>Кол-во часов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представления финансовой отчетности, составленной по МСФО. 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Состав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Виды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Основные средства, критерии признания и оценки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недвижимость, понятие, признание и оценка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 о нематериальных активах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Понятие, оценка и раскрытие информации об аренде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Понятие и критерии признания долгосрочных активов для продажи и прекращенной деятельности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Финансовые инструменты: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2752F1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AE123E" w:rsidRPr="00244418" w:rsidRDefault="00AE123E" w:rsidP="00DA75E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8">
              <w:rPr>
                <w:rFonts w:ascii="Times New Roman" w:hAnsi="Times New Roman" w:cs="Times New Roman"/>
                <w:sz w:val="28"/>
                <w:szCs w:val="28"/>
              </w:rPr>
              <w:t>Инвестиции в дочерние и ассоциированные компании: понятие, оценка, раскрытие информации в финансовой отчетности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</w:t>
            </w:r>
          </w:p>
        </w:tc>
      </w:tr>
      <w:tr w:rsidR="00AE123E" w:rsidRPr="00997BA4" w:rsidTr="00AE123E">
        <w:tc>
          <w:tcPr>
            <w:tcW w:w="1191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AE123E" w:rsidRPr="00244418" w:rsidRDefault="00AE123E" w:rsidP="00DA75EC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244418">
              <w:rPr>
                <w:sz w:val="28"/>
                <w:szCs w:val="28"/>
              </w:rPr>
              <w:t>10</w:t>
            </w:r>
          </w:p>
        </w:tc>
      </w:tr>
    </w:tbl>
    <w:p w:rsidR="00AE123E" w:rsidRDefault="00AE123E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123E" w:rsidRDefault="00AE123E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01D9" w:rsidRPr="00F75DD9" w:rsidRDefault="00AE123E" w:rsidP="00AB0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3</w:t>
      </w:r>
      <w:r w:rsidR="00AB01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B01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AB01D9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AB01D9" w:rsidRDefault="00AB01D9" w:rsidP="00AB01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01D9" w:rsidRPr="00B54CB6" w:rsidRDefault="00AB01D9" w:rsidP="002444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9F7530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в банковском деле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AB01D9" w:rsidRPr="00B54CB6" w:rsidRDefault="00AB01D9" w:rsidP="002444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Start w:id="1" w:name="_GoBack"/>
      <w:bookmarkEnd w:id="1"/>
      <w:r w:rsidRPr="00B54CB6">
        <w:rPr>
          <w:rFonts w:ascii="Times New Roman" w:hAnsi="Times New Roman" w:cs="Times New Roman"/>
          <w:color w:val="000000"/>
          <w:sz w:val="28"/>
          <w:szCs w:val="28"/>
        </w:rPr>
        <w:t>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AB01D9" w:rsidRPr="00006683" w:rsidRDefault="00AB01D9" w:rsidP="002444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AB01D9" w:rsidRPr="00AB01D9" w:rsidRDefault="00AE123E" w:rsidP="00AB01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</w:t>
      </w:r>
      <w:r w:rsidR="00AB01D9" w:rsidRPr="00AB01D9">
        <w:rPr>
          <w:rFonts w:ascii="Times New Roman" w:hAnsi="Times New Roman" w:cs="Times New Roman"/>
          <w:sz w:val="28"/>
          <w:szCs w:val="28"/>
        </w:rPr>
        <w:t>ематика контрольных работ: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Международные стандарты финансовой отчетности в системе унификации бухгалтерской практики.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правила оценки рисков деятельности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Стандарты бухгалтерского баланса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валютным операциям подлежащий отражению в учетной политике.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Мероприятия по реформе бухгалтерского учета и отчетности в банковской системе России.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Основные формы годового бухгалтерского отчета банка, их показатели и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Российские стандарты оценки финансовой деятельности и их отличие от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Показатели отчета о доходах и расходах банка, методология определения прибыли банка по российским стандартам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привлеченных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прибылях и убытках по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Банковский </w:t>
      </w:r>
      <w:proofErr w:type="gramStart"/>
      <w:r w:rsidRPr="00AB01D9">
        <w:rPr>
          <w:sz w:val="28"/>
          <w:szCs w:val="28"/>
        </w:rPr>
        <w:t>документооборот</w:t>
      </w:r>
      <w:proofErr w:type="gramEnd"/>
      <w:r w:rsidRPr="00AB01D9">
        <w:rPr>
          <w:sz w:val="28"/>
          <w:szCs w:val="28"/>
        </w:rPr>
        <w:t xml:space="preserve"> по кредитным операциям подлежащий отражению в учетной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Российские стандарты раскрытия информации в финансовой отчетности банков и финансовых институтов и их отличие от МСФО.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Отчетность об объемах, сроках и стоимости размещенных сре</w:t>
      </w:r>
      <w:proofErr w:type="gramStart"/>
      <w:r w:rsidRPr="00AB01D9">
        <w:rPr>
          <w:sz w:val="28"/>
          <w:szCs w:val="28"/>
        </w:rPr>
        <w:t>дств в б</w:t>
      </w:r>
      <w:proofErr w:type="gramEnd"/>
      <w:r w:rsidRPr="00AB01D9">
        <w:rPr>
          <w:sz w:val="28"/>
          <w:szCs w:val="28"/>
        </w:rPr>
        <w:t>анках.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1D9">
        <w:rPr>
          <w:color w:val="000000"/>
          <w:sz w:val="28"/>
          <w:szCs w:val="28"/>
          <w:shd w:val="clear" w:color="auto" w:fill="FFFFFF"/>
        </w:rPr>
        <w:t>Учет инвестиционных и торговых ценных бумаг по МСФО.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Стандарты отчета о движении денежных средств и сводной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Банковский документооборот по операциям с ценными бумагами подлежащий отражению в учетной политике.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color w:val="000000"/>
          <w:sz w:val="28"/>
          <w:szCs w:val="28"/>
          <w:shd w:val="clear" w:color="auto" w:fill="FFFFFF"/>
        </w:rPr>
        <w:t>Анализ доходов и расходов коммерческого банка по МСФО. 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lastRenderedPageBreak/>
        <w:t xml:space="preserve">Информация, подлежащая раскрытию в финансовой отчетности. 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>Состав финансовой отчетности банка и порядок ее составления.</w:t>
      </w:r>
    </w:p>
    <w:p w:rsidR="00AB01D9" w:rsidRPr="00AB01D9" w:rsidRDefault="00AB01D9" w:rsidP="00AB01D9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B01D9">
        <w:rPr>
          <w:sz w:val="28"/>
          <w:szCs w:val="28"/>
        </w:rPr>
        <w:t xml:space="preserve">Особенности оценки </w:t>
      </w:r>
      <w:proofErr w:type="gramStart"/>
      <w:r w:rsidRPr="00AB01D9">
        <w:rPr>
          <w:sz w:val="28"/>
          <w:szCs w:val="28"/>
        </w:rPr>
        <w:t>операций</w:t>
      </w:r>
      <w:proofErr w:type="gramEnd"/>
      <w:r w:rsidRPr="00AB01D9">
        <w:rPr>
          <w:sz w:val="28"/>
          <w:szCs w:val="28"/>
        </w:rPr>
        <w:t xml:space="preserve"> с ценными бумагами подлежащие отражению в учетной политике. </w:t>
      </w:r>
    </w:p>
    <w:p w:rsidR="000C6D68" w:rsidRDefault="000C6D68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</w:p>
    <w:p w:rsidR="00C045CF" w:rsidRPr="00154D3C" w:rsidRDefault="00AE123E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самостоятельной работы студента по дисциплине </w:t>
      </w:r>
      <w:r w:rsidR="009F7530" w:rsidRPr="009F7530">
        <w:rPr>
          <w:rFonts w:ascii="Times New Roman" w:hAnsi="Times New Roman" w:cs="Times New Roman"/>
          <w:sz w:val="28"/>
          <w:szCs w:val="28"/>
        </w:rPr>
        <w:t>«Международные стандарты финансовой отчетности в банковском деле»</w:t>
      </w:r>
      <w:r w:rsidR="009F7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еоретическое осмысление проблемной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244418">
          <w:rPr>
            <w:rFonts w:ascii="Times New Roman" w:hAnsi="Times New Roman"/>
            <w:noProof/>
            <w:sz w:val="28"/>
            <w:szCs w:val="28"/>
          </w:rPr>
          <w:t>6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A5509"/>
    <w:multiLevelType w:val="hybridMultilevel"/>
    <w:tmpl w:val="F790ED9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C6D68"/>
    <w:rsid w:val="000F109D"/>
    <w:rsid w:val="000F3E8C"/>
    <w:rsid w:val="001207E7"/>
    <w:rsid w:val="00141F95"/>
    <w:rsid w:val="00153727"/>
    <w:rsid w:val="00154D3C"/>
    <w:rsid w:val="001D368B"/>
    <w:rsid w:val="001E1188"/>
    <w:rsid w:val="00225E74"/>
    <w:rsid w:val="00244418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3E50C8"/>
    <w:rsid w:val="003F3FB2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9F7530"/>
    <w:rsid w:val="00A0006F"/>
    <w:rsid w:val="00A4219C"/>
    <w:rsid w:val="00A62534"/>
    <w:rsid w:val="00AB01D9"/>
    <w:rsid w:val="00AC6AFD"/>
    <w:rsid w:val="00AE123E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5</cp:revision>
  <cp:lastPrinted>2018-06-13T12:18:00Z</cp:lastPrinted>
  <dcterms:created xsi:type="dcterms:W3CDTF">2019-10-24T06:55:00Z</dcterms:created>
  <dcterms:modified xsi:type="dcterms:W3CDTF">2020-02-28T08:23:00Z</dcterms:modified>
</cp:coreProperties>
</file>