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8E0377" w:rsidRDefault="008E0377" w:rsidP="008E037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8E0377" w:rsidRDefault="008E0377" w:rsidP="008E037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8E0377" w:rsidRDefault="008E0377" w:rsidP="008E0377">
      <w:pPr>
        <w:pStyle w:val="ReportHead"/>
        <w:suppressAutoHyphens/>
      </w:pPr>
    </w:p>
    <w:p w:rsidR="008E0377" w:rsidRDefault="008E0377" w:rsidP="008E037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8E0377" w:rsidRDefault="008E0377" w:rsidP="008E0377">
      <w:pPr>
        <w:pStyle w:val="ReportHead"/>
        <w:suppressAutoHyphens/>
        <w:spacing w:line="360" w:lineRule="auto"/>
      </w:pPr>
      <w:r>
        <w:t>БАКАЛАВРИАТ</w:t>
      </w:r>
    </w:p>
    <w:p w:rsidR="008E0377" w:rsidRDefault="008E0377" w:rsidP="008E0377">
      <w:pPr>
        <w:pStyle w:val="ReportHead"/>
        <w:suppressAutoHyphens/>
      </w:pPr>
      <w:r>
        <w:t>Направление подготовки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8E0377" w:rsidRDefault="008E0377" w:rsidP="008E037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8E0377" w:rsidRDefault="008E0377" w:rsidP="008E037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0377" w:rsidRDefault="008E0377" w:rsidP="008E0377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</w:pPr>
      <w:r>
        <w:t>Квалификация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E0377" w:rsidRDefault="008E0377" w:rsidP="008E0377">
      <w:pPr>
        <w:pStyle w:val="ReportHead"/>
        <w:suppressAutoHyphens/>
        <w:spacing w:before="120"/>
      </w:pPr>
      <w:r>
        <w:t>Форма обучения</w:t>
      </w:r>
    </w:p>
    <w:p w:rsidR="00EE1916" w:rsidRDefault="00EE1916" w:rsidP="00EE191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DE0B54">
        <w:t>0</w:t>
      </w:r>
    </w:p>
    <w:p w:rsidR="00023B86" w:rsidRDefault="008E0377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08.03.01 Строительство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EE191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УК-9:</w:t>
            </w:r>
          </w:p>
          <w:p w:rsidR="008E0377" w:rsidRPr="000B19A5" w:rsidRDefault="008E0377" w:rsidP="00EE1916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E0377" w:rsidRDefault="008E0377" w:rsidP="00EE1916">
            <w:pPr>
              <w:pStyle w:val="ReportMain"/>
              <w:suppressAutoHyphens/>
            </w:pPr>
            <w:r w:rsidRPr="000B19A5">
              <w:t>УК-9-В-1</w:t>
            </w:r>
            <w:proofErr w:type="gramStart"/>
            <w:r w:rsidRPr="000B19A5">
              <w:t xml:space="preserve"> В</w:t>
            </w:r>
            <w:proofErr w:type="gramEnd"/>
            <w:r w:rsidRPr="000B19A5">
              <w:t>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0B19A5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0B19A5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8E0377" w:rsidRDefault="008E0377" w:rsidP="00EE1916">
            <w:pPr>
              <w:pStyle w:val="ReportMain"/>
              <w:suppressAutoHyphens/>
            </w:pPr>
            <w:r w:rsidRPr="000B19A5">
              <w:t>УК-9-В-2</w:t>
            </w:r>
            <w:proofErr w:type="gramStart"/>
            <w:r w:rsidRPr="000B19A5">
              <w:t xml:space="preserve"> В</w:t>
            </w:r>
            <w:proofErr w:type="gramEnd"/>
            <w:r w:rsidRPr="000B19A5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8E0377" w:rsidRPr="000B19A5" w:rsidRDefault="008E0377" w:rsidP="00EE1916">
            <w:pPr>
              <w:pStyle w:val="ReportMain"/>
              <w:suppressAutoHyphens/>
            </w:pPr>
            <w:r w:rsidRPr="000B19A5">
              <w:t>УК-9-В-3</w:t>
            </w:r>
            <w:proofErr w:type="gramStart"/>
            <w:r w:rsidRPr="000B19A5">
              <w:t xml:space="preserve"> П</w:t>
            </w:r>
            <w:proofErr w:type="gramEnd"/>
            <w:r w:rsidRPr="000B19A5">
              <w:t>онимает последствия принимаемых финансово-экономических решений в условиях сформировавшейся экономической культуры</w:t>
            </w:r>
            <w:r>
              <w:t>;</w:t>
            </w:r>
            <w:r w:rsidRPr="000B19A5">
              <w:t xml:space="preserve">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8E0377" w:rsidRPr="003616D9" w:rsidRDefault="008E0377" w:rsidP="008E0377">
            <w:pPr>
              <w:pStyle w:val="ReportMain"/>
              <w:suppressAutoHyphens/>
            </w:pPr>
            <w:proofErr w:type="gramStart"/>
            <w:r w:rsidRPr="00182616">
              <w:rPr>
                <w:b/>
                <w:u w:val="single"/>
              </w:rPr>
              <w:t>Знать:</w:t>
            </w:r>
            <w:r>
              <w:t xml:space="preserve"> основы поведения экономических агентов,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решений; факторы технического и технологического прогресса и повышения производительности, показатели социально-экономического развития и роста, ресурсные и экологические ограничения развития;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  <w:r w:rsidRPr="00182616"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41853" w:rsidRPr="003616D9" w:rsidRDefault="008E0377" w:rsidP="008E0377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критически оценивать информацию о перспективах экономического роста и технологического развития экономики страны, последствий экономической политики для принятия обоснованных экономических решений.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41853" w:rsidRPr="003616D9" w:rsidRDefault="008E0377" w:rsidP="0013202F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навыками анализа экономической информации о перспективах роста экономики; навыками применения принципов развития экономики, принципами </w:t>
            </w:r>
            <w:r>
              <w:lastRenderedPageBreak/>
              <w:t>экономического анализа для принятия решений.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 xml:space="preserve">индивидуального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E0B54" w:rsidRPr="003616D9" w:rsidTr="0099157B">
        <w:tc>
          <w:tcPr>
            <w:tcW w:w="1843" w:type="dxa"/>
            <w:vMerge w:val="restart"/>
            <w:shd w:val="clear" w:color="auto" w:fill="auto"/>
          </w:tcPr>
          <w:p w:rsidR="00DE0B54" w:rsidRDefault="00DE0B54" w:rsidP="00EE191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УК-10:</w:t>
            </w:r>
          </w:p>
          <w:p w:rsidR="00DE0B54" w:rsidRPr="00466DA9" w:rsidRDefault="00DE0B54" w:rsidP="00EE1916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DE0B54" w:rsidRDefault="00DE0B54" w:rsidP="00EE1916">
            <w:pPr>
              <w:pStyle w:val="ReportMain"/>
              <w:suppressAutoHyphens/>
            </w:pPr>
            <w:r w:rsidRPr="00466DA9">
              <w:t>УК-10-В-1</w:t>
            </w:r>
            <w:proofErr w:type="gramStart"/>
            <w:r w:rsidRPr="00466DA9">
              <w:t xml:space="preserve"> П</w:t>
            </w:r>
            <w:proofErr w:type="gramEnd"/>
            <w:r w:rsidRPr="00466DA9">
              <w:t>онимает сущность и различает формы коррупционного поведения, его взаимосвязь с социальными, экономическими, политическими и иными условиями, его негативные последствия</w:t>
            </w:r>
          </w:p>
          <w:p w:rsidR="00DE0B54" w:rsidRPr="00466DA9" w:rsidRDefault="00DE0B54" w:rsidP="00EE1916">
            <w:pPr>
              <w:pStyle w:val="ReportMain"/>
              <w:suppressAutoHyphens/>
            </w:pPr>
            <w:r w:rsidRPr="00466DA9">
              <w:t>УК-10-В-2</w:t>
            </w:r>
            <w:proofErr w:type="gramStart"/>
            <w:r w:rsidRPr="00466DA9">
              <w:t xml:space="preserve"> В</w:t>
            </w:r>
            <w:proofErr w:type="gramEnd"/>
            <w:r w:rsidRPr="00466DA9">
              <w:t xml:space="preserve"> профессиональной и общественной деятельности неукоснительно соблюдает нормы права и морали, применяет предусмотренные законом меры к нейтрализации коррупционного поведения, правовые нормы о противодействии коррупционного поведения</w:t>
            </w:r>
          </w:p>
        </w:tc>
        <w:tc>
          <w:tcPr>
            <w:tcW w:w="2835" w:type="dxa"/>
            <w:shd w:val="clear" w:color="auto" w:fill="auto"/>
          </w:tcPr>
          <w:p w:rsidR="00DE0B54" w:rsidRPr="00182616" w:rsidRDefault="00DE0B54" w:rsidP="00DE0B54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Знать:</w:t>
            </w:r>
            <w:r>
              <w:t xml:space="preserve"> сущность и формы коррупционного поведения, </w:t>
            </w:r>
            <w:r w:rsidRPr="001E5F6A">
              <w:t>его взаимосвязь с социальными, экономическими, политическими и иными условиями, его негативные последствия.</w:t>
            </w:r>
          </w:p>
        </w:tc>
        <w:tc>
          <w:tcPr>
            <w:tcW w:w="2410" w:type="dxa"/>
            <w:shd w:val="clear" w:color="auto" w:fill="auto"/>
          </w:tcPr>
          <w:p w:rsidR="00DE0B54" w:rsidRPr="00B930E7" w:rsidRDefault="00DE0B54" w:rsidP="00EE191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DE0B54" w:rsidRDefault="00DE0B54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DE0B54" w:rsidRDefault="00DE0B54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DE0B54" w:rsidRPr="003616D9" w:rsidRDefault="00DE0B54" w:rsidP="00EE1916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DE0B54" w:rsidRPr="003616D9" w:rsidTr="0099157B">
        <w:tc>
          <w:tcPr>
            <w:tcW w:w="1843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DE0B54" w:rsidRPr="00182616" w:rsidRDefault="00DE0B54" w:rsidP="00DE0B54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Уметь:</w:t>
            </w:r>
            <w:r>
              <w:rPr>
                <w:b/>
                <w:u w:val="single"/>
              </w:rPr>
              <w:t xml:space="preserve"> </w:t>
            </w:r>
            <w:r>
              <w:t>формировать нетерпимое отношение к коррупционному поведению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DE0B54" w:rsidRPr="00B930E7" w:rsidRDefault="00DE0B54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DE0B54" w:rsidRPr="00B930E7" w:rsidRDefault="00DE0B54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DE0B54" w:rsidRPr="003616D9" w:rsidRDefault="00DE0B54" w:rsidP="00EE1916">
            <w:pPr>
              <w:pStyle w:val="ReportMain"/>
              <w:suppressAutoHyphens/>
              <w:rPr>
                <w:i/>
              </w:rPr>
            </w:pPr>
          </w:p>
        </w:tc>
      </w:tr>
      <w:tr w:rsidR="00DE0B54" w:rsidRPr="003616D9" w:rsidTr="0099157B">
        <w:tc>
          <w:tcPr>
            <w:tcW w:w="1843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DE0B54" w:rsidRPr="00182616" w:rsidRDefault="00DE0B54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Владеть:</w:t>
            </w:r>
            <w:r>
              <w:t xml:space="preserve"> навыками соблюдения</w:t>
            </w:r>
            <w:r w:rsidRPr="001E5F6A">
              <w:t xml:space="preserve"> норм права и морали, примен</w:t>
            </w:r>
            <w:r>
              <w:t>ения</w:t>
            </w:r>
            <w:r w:rsidRPr="001E5F6A">
              <w:t xml:space="preserve"> предусмотренны</w:t>
            </w:r>
            <w:r>
              <w:t>х</w:t>
            </w:r>
            <w:r w:rsidRPr="001E5F6A">
              <w:t xml:space="preserve"> законом мер к нейтрализации коррупци</w:t>
            </w:r>
            <w:r>
              <w:t>онного поведения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DE0B54" w:rsidRPr="00D877CA" w:rsidRDefault="00DE0B54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DE0B54" w:rsidRPr="003616D9" w:rsidRDefault="00DE0B54" w:rsidP="00EE1916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EE191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ОПК-1:</w:t>
            </w:r>
          </w:p>
          <w:p w:rsidR="008E0377" w:rsidRPr="000B19A5" w:rsidRDefault="008E0377" w:rsidP="00EE1916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E0377" w:rsidRDefault="008E0377" w:rsidP="00EE1916">
            <w:pPr>
              <w:pStyle w:val="ReportMain"/>
              <w:suppressAutoHyphens/>
            </w:pPr>
            <w:r w:rsidRPr="000B19A5">
              <w:t>ОПК-1-В-6 Решение инженерных задач с помощью математического аппарата векторной алгебры, аналитической геометрии и математического анализа</w:t>
            </w:r>
          </w:p>
          <w:p w:rsidR="008E0377" w:rsidRPr="000B19A5" w:rsidRDefault="008E0377" w:rsidP="00EE1916">
            <w:pPr>
              <w:pStyle w:val="ReportMain"/>
              <w:suppressAutoHyphens/>
            </w:pPr>
            <w:r w:rsidRPr="000B19A5">
              <w:t>ОПК-1-В-8 Обработка расчетных и экспериментальных данных вероятностно-статистическими методами</w:t>
            </w: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Знать:</w:t>
            </w:r>
            <w:r>
              <w:t xml:space="preserve"> основы  экономических и институциональных ограничений при решении задач профессиональной деятельности на основе использования теоретических и практических основ естественных и технических наук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EE191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EE1916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обрабатывать расчетные и экспериментальные данные вероятностно-статистическими методами с учетом институциональных и экономических ограничений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B930E7" w:rsidRDefault="008E0377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8E0377" w:rsidRPr="003616D9" w:rsidRDefault="008E0377" w:rsidP="00EE1916">
            <w:pPr>
              <w:pStyle w:val="ReportMain"/>
              <w:suppressAutoHyphens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навыками использования решения инженерных задач с помощью категориального аппарата экономической теории </w:t>
            </w:r>
            <w:r>
              <w:lastRenderedPageBreak/>
              <w:t>для обоснования собственной позиции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уровня  </w:t>
            </w:r>
          </w:p>
          <w:p w:rsidR="008E0377" w:rsidRPr="003616D9" w:rsidRDefault="008E0377" w:rsidP="00EE1916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EE191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ОПК-6:</w:t>
            </w:r>
          </w:p>
          <w:p w:rsidR="008E0377" w:rsidRPr="000B19A5" w:rsidRDefault="008E0377" w:rsidP="00EE1916">
            <w:pPr>
              <w:pStyle w:val="ReportMain"/>
              <w:suppressAutoHyphens/>
            </w:pPr>
            <w:proofErr w:type="gramStart"/>
            <w:r>
      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  <w:proofErr w:type="gramEnd"/>
          </w:p>
        </w:tc>
        <w:tc>
          <w:tcPr>
            <w:tcW w:w="3028" w:type="dxa"/>
            <w:vMerge w:val="restart"/>
            <w:shd w:val="clear" w:color="auto" w:fill="auto"/>
          </w:tcPr>
          <w:p w:rsidR="008E0377" w:rsidRPr="000B19A5" w:rsidRDefault="008E0377" w:rsidP="00EE1916">
            <w:pPr>
              <w:pStyle w:val="ReportMain"/>
              <w:suppressAutoHyphens/>
            </w:pPr>
            <w:r w:rsidRPr="000B19A5">
              <w:t>ОПК-6-В-16 Оценка основных технико-экономических показателей проектных решений профильного объекта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Знать:</w:t>
            </w:r>
            <w:r>
              <w:t xml:space="preserve"> основные концепции современной методологии науки; современные методы сбора, обработки, анализа и расчета экономических и социальных данных.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EE191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EE1916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творчески применять полученные знания в хозяйственной практике; выстраивать технико-организационные структуры производства с учетом современных интеллектуально-правовых требований; интерпретировать при использовании источников экономической, социальной и управленческой информации данные отечественной и зарубежной статистики с позиции текущих тенденций современного развития.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B930E7" w:rsidRDefault="008E0377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8E0377" w:rsidRPr="003616D9" w:rsidRDefault="008E0377" w:rsidP="00EE1916">
            <w:pPr>
              <w:pStyle w:val="ReportMain"/>
              <w:suppressAutoHyphens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системным подходом к решению экономических и практических задач; приемами использования полученных знаний в процессе социального прогнозирования и проектирования.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EE191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E0377" w:rsidRPr="003616D9" w:rsidRDefault="008E0377" w:rsidP="00EE1916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lastRenderedPageBreak/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" w:name="1_1"/>
      <w:bookmarkEnd w:id="2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2"/>
      <w:bookmarkEnd w:id="3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lastRenderedPageBreak/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2"/>
      <w:bookmarkEnd w:id="4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3"/>
      <w:bookmarkEnd w:id="5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_8"/>
      <w:bookmarkEnd w:id="6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lastRenderedPageBreak/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</w:t>
      </w:r>
      <w:r w:rsidR="00C41853" w:rsidRPr="00063CC1">
        <w:rPr>
          <w:sz w:val="24"/>
          <w:szCs w:val="24"/>
        </w:rPr>
        <w:lastRenderedPageBreak/>
        <w:t xml:space="preserve">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lastRenderedPageBreak/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</w:t>
            </w:r>
            <w:r w:rsidRPr="001428F9">
              <w:rPr>
                <w:szCs w:val="24"/>
              </w:rPr>
              <w:lastRenderedPageBreak/>
              <w:t>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7" w:name="__RefHeading___Toc511240057"/>
            <w:bookmarkEnd w:id="7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bookmarkStart w:id="8" w:name="_GoBack"/>
      <w:bookmarkEnd w:id="8"/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отводится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16" w:rsidRDefault="00EE1916" w:rsidP="00DC3BDA">
      <w:pPr>
        <w:spacing w:after="0" w:line="240" w:lineRule="auto"/>
      </w:pPr>
      <w:r>
        <w:separator/>
      </w:r>
    </w:p>
  </w:endnote>
  <w:endnote w:type="continuationSeparator" w:id="0">
    <w:p w:rsidR="00EE1916" w:rsidRDefault="00EE1916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16" w:rsidRPr="00DC3BDA" w:rsidRDefault="00EE1916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8065F">
      <w:rPr>
        <w:noProof/>
        <w:sz w:val="20"/>
      </w:rPr>
      <w:t>31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16" w:rsidRDefault="00EE1916" w:rsidP="00DC3BDA">
      <w:pPr>
        <w:spacing w:after="0" w:line="240" w:lineRule="auto"/>
      </w:pPr>
      <w:r>
        <w:separator/>
      </w:r>
    </w:p>
  </w:footnote>
  <w:footnote w:type="continuationSeparator" w:id="0">
    <w:p w:rsidR="00EE1916" w:rsidRDefault="00EE1916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01296"/>
    <w:rsid w:val="00230842"/>
    <w:rsid w:val="002B4A8F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57AF1"/>
    <w:rsid w:val="005A0864"/>
    <w:rsid w:val="00614260"/>
    <w:rsid w:val="006B3F8C"/>
    <w:rsid w:val="00823E7C"/>
    <w:rsid w:val="008326EB"/>
    <w:rsid w:val="00851D15"/>
    <w:rsid w:val="008E0377"/>
    <w:rsid w:val="009646CD"/>
    <w:rsid w:val="0099157B"/>
    <w:rsid w:val="009A00B3"/>
    <w:rsid w:val="00A20970"/>
    <w:rsid w:val="00A3488F"/>
    <w:rsid w:val="00AA782B"/>
    <w:rsid w:val="00B322A4"/>
    <w:rsid w:val="00B36DD7"/>
    <w:rsid w:val="00B8065F"/>
    <w:rsid w:val="00BF7308"/>
    <w:rsid w:val="00C276FA"/>
    <w:rsid w:val="00C41853"/>
    <w:rsid w:val="00D97DAC"/>
    <w:rsid w:val="00DC3BDA"/>
    <w:rsid w:val="00DE0B54"/>
    <w:rsid w:val="00E32DBA"/>
    <w:rsid w:val="00E36B77"/>
    <w:rsid w:val="00E40B1F"/>
    <w:rsid w:val="00E95938"/>
    <w:rsid w:val="00EB3B0B"/>
    <w:rsid w:val="00EE1916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6BE9-4A72-458B-8097-C4AFE1C5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11569</Words>
  <Characters>65945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4</cp:revision>
  <dcterms:created xsi:type="dcterms:W3CDTF">2022-01-22T14:12:00Z</dcterms:created>
  <dcterms:modified xsi:type="dcterms:W3CDTF">2022-01-22T14:15:00Z</dcterms:modified>
</cp:coreProperties>
</file>