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4" w:rsidRDefault="00E77F24" w:rsidP="00374F8F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77F24" w:rsidRDefault="00E77F24" w:rsidP="00374F8F">
      <w:pPr>
        <w:keepNext/>
        <w:suppressAutoHyphens/>
        <w:spacing w:after="0" w:line="240" w:lineRule="auto"/>
        <w:rPr>
          <w:sz w:val="24"/>
        </w:rPr>
      </w:pP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73E00" w:rsidRDefault="00C73E00" w:rsidP="00374F8F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«Оценка банковского бизнеса»</w:t>
      </w: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БАКАЛАВРИАТ</w:t>
      </w:r>
    </w:p>
    <w:p w:rsidR="00C73E00" w:rsidRDefault="00C73E00" w:rsidP="00374F8F">
      <w:pPr>
        <w:pStyle w:val="ReportHead"/>
        <w:keepNext/>
        <w:suppressAutoHyphens/>
      </w:pPr>
      <w:r>
        <w:t>Направление подготовки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</w:pPr>
      <w:r>
        <w:t>Квалификация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73E00" w:rsidRDefault="00C73E00" w:rsidP="00374F8F">
      <w:pPr>
        <w:pStyle w:val="ReportHead"/>
        <w:keepNext/>
        <w:suppressAutoHyphens/>
        <w:spacing w:before="120"/>
      </w:pPr>
      <w:r>
        <w:t>Форма обучения</w:t>
      </w:r>
    </w:p>
    <w:p w:rsidR="00C73E00" w:rsidRDefault="00337182" w:rsidP="00374F8F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  <w:bookmarkStart w:id="0" w:name="_GoBack"/>
      <w:bookmarkEnd w:id="0"/>
    </w:p>
    <w:p w:rsidR="00C73E00" w:rsidRDefault="00C73E00" w:rsidP="00374F8F">
      <w:pPr>
        <w:pStyle w:val="ReportHead"/>
        <w:keepNext/>
        <w:suppressAutoHyphens/>
      </w:pPr>
      <w:bookmarkStart w:id="1" w:name="BookmarkWhereDelChr13"/>
      <w:bookmarkEnd w:id="1"/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  <w:sectPr w:rsidR="00C73E00" w:rsidSect="00C73E0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C73E00" w:rsidRDefault="00C73E00" w:rsidP="00374F8F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</w:t>
      </w:r>
      <w:r w:rsidR="00E77F24">
        <w:rPr>
          <w:sz w:val="24"/>
        </w:rPr>
        <w:t>е «Оценка банковского бизнеса».</w:t>
      </w: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73E00" w:rsidRDefault="00C73E00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C73E00" w:rsidRPr="00C73E00" w:rsidTr="00C73E0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 xml:space="preserve">Планируемые результаты </w:t>
            </w:r>
            <w:proofErr w:type="gramStart"/>
            <w:r w:rsidRPr="00C73E00">
              <w:t>обучения по дисциплине</w:t>
            </w:r>
            <w:proofErr w:type="gramEnd"/>
            <w:r w:rsidRPr="00C73E00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Виды оценочных средств/</w:t>
            </w:r>
          </w:p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шифр раздела в данном документе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УК-1-В-2</w:t>
            </w:r>
            <w:proofErr w:type="gramStart"/>
            <w:r w:rsidRPr="00C73E00">
              <w:t xml:space="preserve"> О</w:t>
            </w:r>
            <w:proofErr w:type="gramEnd"/>
            <w:r w:rsidRPr="00C73E00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стандарты оценки для определения соответствующего вида стоимости объекта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передовой отечественный и зарубежный опыт в области оценочной деятельности;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изучать рынок и анализировать информацию об объекте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обосновывать использование стандартов оценки, подходов и методов её проведения;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критического анализа и синтеза информации, полученной из разных источников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</w:t>
            </w:r>
            <w:r>
              <w:lastRenderedPageBreak/>
              <w:t>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lastRenderedPageBreak/>
              <w:t>ПК*-1-В-3</w:t>
            </w:r>
            <w:proofErr w:type="gramStart"/>
            <w:r w:rsidRPr="00C73E00">
              <w:t xml:space="preserve"> П</w:t>
            </w:r>
            <w:proofErr w:type="gramEnd"/>
            <w:r w:rsidRPr="00C73E00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 xml:space="preserve">- принципы построения экономико-математических моделей </w:t>
            </w:r>
            <w:r>
              <w:rPr>
                <w:bCs/>
                <w:szCs w:val="24"/>
              </w:rPr>
              <w:t xml:space="preserve">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 xml:space="preserve">использовать стандартные методы и приемы для анализа и обработки </w:t>
            </w:r>
            <w:r>
              <w:rPr>
                <w:bCs/>
                <w:szCs w:val="24"/>
              </w:rPr>
              <w:lastRenderedPageBreak/>
              <w:t>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ПК*-2-В-3</w:t>
            </w:r>
            <w:proofErr w:type="gramStart"/>
            <w:r w:rsidRPr="00C73E00">
              <w:t xml:space="preserve"> И</w:t>
            </w:r>
            <w:proofErr w:type="gramEnd"/>
            <w:r w:rsidRPr="00C73E00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подходы и методы </w:t>
            </w:r>
            <w:proofErr w:type="gramStart"/>
            <w:r>
              <w:rPr>
                <w:szCs w:val="24"/>
              </w:rPr>
              <w:t>проведения оценки стоимости объектов оценки</w:t>
            </w:r>
            <w:proofErr w:type="gramEnd"/>
            <w:r>
              <w:rPr>
                <w:szCs w:val="24"/>
              </w:rPr>
              <w:t xml:space="preserve"> и установления цены сделки;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собирать и систематизировать данные для создания информационной базы, необходимой для последующей оценочной деятельности;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t xml:space="preserve">- обрабатывать информацию из прогнозов </w:t>
            </w:r>
            <w:proofErr w:type="gramStart"/>
            <w:r>
              <w:t>социально-экономического</w:t>
            </w:r>
            <w:proofErr w:type="gramEnd"/>
          </w:p>
          <w:p w:rsidR="008814A4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>развития страны, программ стратегического экономического</w:t>
            </w:r>
          </w:p>
          <w:p w:rsidR="008814A4" w:rsidRPr="00C73E00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 xml:space="preserve">развития государства;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>- методами оценки стоимости банковского бизнеса.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</w:tbl>
    <w:p w:rsidR="00C73E00" w:rsidRDefault="00C73E00" w:rsidP="00374F8F">
      <w:pPr>
        <w:pStyle w:val="ReportMain"/>
        <w:keepNext/>
        <w:suppressAutoHyphens/>
        <w:jc w:val="both"/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 Типовые контрольные задания и иные материалы, необходимые для оценки пл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8814A4" w:rsidRDefault="008814A4" w:rsidP="0088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А.1 Пример тестового задания</w:t>
      </w:r>
      <w:r>
        <w:rPr>
          <w:sz w:val="24"/>
          <w:szCs w:val="24"/>
        </w:rPr>
        <w:t>:</w:t>
      </w:r>
    </w:p>
    <w:p w:rsidR="008814A4" w:rsidRDefault="008814A4" w:rsidP="008814A4">
      <w:pPr>
        <w:autoSpaceDE w:val="0"/>
        <w:autoSpaceDN w:val="0"/>
        <w:adjustRightInd w:val="0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Выберите один правильный вариант 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Коэффициент оборачиваемости собственного капитала определяется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Выручки от продаж к средней (за период) стоимости собственного капитала;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Собственного капитала к </w:t>
      </w:r>
      <w:proofErr w:type="gramStart"/>
      <w:r>
        <w:rPr>
          <w:sz w:val="24"/>
          <w:szCs w:val="24"/>
        </w:rPr>
        <w:t>заемному</w:t>
      </w:r>
      <w:proofErr w:type="gramEnd"/>
      <w:r>
        <w:rPr>
          <w:sz w:val="24"/>
          <w:szCs w:val="24"/>
        </w:rPr>
        <w:t xml:space="preserve"> за 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Стоимости собственного капитала к выручке от продаж за </w:t>
      </w:r>
      <w:r>
        <w:rPr>
          <w:sz w:val="24"/>
          <w:szCs w:val="24"/>
        </w:rPr>
        <w:br/>
        <w:t>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Чистой прибыли к средней стоимости собственного капитала.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Коэффициент платежеспособности рассчитывается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Заемных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обственным средствам;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Собственных средств ко всем заемным средствам; 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суммы долгосрочной и краткосрочной задолженности к собственным средствам;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Заемного капитала ко всему авансированному капиталу.</w:t>
      </w:r>
    </w:p>
    <w:p w:rsidR="008814A4" w:rsidRDefault="008814A4" w:rsidP="008814A4">
      <w:pPr>
        <w:tabs>
          <w:tab w:val="left" w:pos="993"/>
        </w:tabs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Вставьте пропущенные термины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</w:rPr>
        <w:t>Преобладание выручки с продаж банковских продуктов над совокупными переменными затратами по их реализации является …. доходом.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……….. ………… это деятельность, призванная максимизировать стои</w:t>
      </w:r>
      <w:r>
        <w:rPr>
          <w:sz w:val="24"/>
          <w:szCs w:val="24"/>
        </w:rPr>
        <w:softHyphen/>
        <w:t>мость компании (на базе дисконти</w:t>
      </w:r>
      <w:r>
        <w:rPr>
          <w:sz w:val="24"/>
          <w:szCs w:val="24"/>
        </w:rPr>
        <w:softHyphen/>
        <w:t>рованных денежных потоков).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………… ……………….. Она называется также </w:t>
      </w:r>
      <w:r>
        <w:rPr>
          <w:spacing w:val="-8"/>
          <w:sz w:val="24"/>
          <w:szCs w:val="24"/>
        </w:rPr>
        <w:t>стоимостью чистых активов или собст</w:t>
      </w:r>
      <w:r>
        <w:rPr>
          <w:spacing w:val="-8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венным капиталом; определяется как </w:t>
      </w:r>
      <w:r>
        <w:rPr>
          <w:spacing w:val="-2"/>
          <w:sz w:val="24"/>
          <w:szCs w:val="24"/>
        </w:rPr>
        <w:t xml:space="preserve">разница совокупных активов банка и </w:t>
      </w:r>
      <w:r>
        <w:rPr>
          <w:spacing w:val="-4"/>
          <w:sz w:val="24"/>
          <w:szCs w:val="24"/>
        </w:rPr>
        <w:t>его совокупных пассивов. Она</w:t>
      </w:r>
      <w:r>
        <w:rPr>
          <w:sz w:val="24"/>
          <w:szCs w:val="24"/>
        </w:rPr>
        <w:t xml:space="preserve"> базируется на ба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лансовых (бухгалтерских) величинах </w:t>
      </w:r>
      <w:r>
        <w:rPr>
          <w:spacing w:val="-2"/>
          <w:sz w:val="24"/>
          <w:szCs w:val="24"/>
        </w:rPr>
        <w:t>или стоимости приобретения, реаль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ная чистая стоимость основана на </w:t>
      </w:r>
      <w:r>
        <w:rPr>
          <w:spacing w:val="-3"/>
          <w:sz w:val="24"/>
          <w:szCs w:val="24"/>
        </w:rPr>
        <w:t>рыночной переоценке активов и пас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сивов.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 ………………… ……………… Это цель ме</w:t>
      </w:r>
      <w:r>
        <w:rPr>
          <w:sz w:val="24"/>
          <w:szCs w:val="24"/>
        </w:rPr>
        <w:softHyphen/>
        <w:t xml:space="preserve">неджмента — принимать решения </w:t>
      </w:r>
      <w:r>
        <w:rPr>
          <w:spacing w:val="-1"/>
          <w:sz w:val="24"/>
          <w:szCs w:val="24"/>
        </w:rPr>
        <w:t>таким о</w:t>
      </w:r>
      <w:r>
        <w:rPr>
          <w:spacing w:val="-1"/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разом, чтобы акционерный </w:t>
      </w:r>
      <w:r>
        <w:rPr>
          <w:spacing w:val="-3"/>
          <w:sz w:val="24"/>
          <w:szCs w:val="24"/>
        </w:rPr>
        <w:t>капитал или стоимость компании до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стигали максимума.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 ……………….. стоимость. Это ц</w:t>
      </w:r>
      <w:r>
        <w:rPr>
          <w:sz w:val="24"/>
          <w:szCs w:val="24"/>
        </w:rPr>
        <w:t>ена, полу</w:t>
      </w:r>
      <w:r>
        <w:rPr>
          <w:sz w:val="24"/>
          <w:szCs w:val="24"/>
        </w:rPr>
        <w:softHyphen/>
        <w:t>ченная путем дисконтирования де</w:t>
      </w:r>
      <w:r>
        <w:rPr>
          <w:sz w:val="24"/>
          <w:szCs w:val="24"/>
        </w:rPr>
        <w:softHyphen/>
        <w:t>нежных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  ………………. …………… (под риском) (</w:t>
      </w:r>
      <w:r>
        <w:rPr>
          <w:bCs/>
          <w:sz w:val="24"/>
          <w:szCs w:val="24"/>
          <w:lang w:val="en-US"/>
        </w:rPr>
        <w:t>V</w:t>
      </w:r>
      <w:proofErr w:type="gramStart"/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</w:rPr>
        <w:t>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Разумная статистическая мера риска, идеально учитываю</w:t>
      </w:r>
      <w:r>
        <w:rPr>
          <w:sz w:val="24"/>
          <w:szCs w:val="24"/>
        </w:rPr>
        <w:softHyphen/>
        <w:t>щая все риски, присущие банковс</w:t>
      </w:r>
      <w:r>
        <w:rPr>
          <w:sz w:val="24"/>
          <w:szCs w:val="24"/>
        </w:rPr>
        <w:softHyphen/>
        <w:t>кому делу.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gramStart"/>
      <w:r>
        <w:rPr>
          <w:bCs/>
          <w:sz w:val="24"/>
          <w:szCs w:val="24"/>
        </w:rPr>
        <w:t>Средневзвешенная</w:t>
      </w:r>
      <w:proofErr w:type="gramEnd"/>
      <w:r>
        <w:rPr>
          <w:bCs/>
          <w:sz w:val="24"/>
          <w:szCs w:val="24"/>
        </w:rPr>
        <w:t xml:space="preserve"> …………… ………………. капитала. </w:t>
      </w:r>
      <w:r>
        <w:rPr>
          <w:sz w:val="24"/>
          <w:szCs w:val="24"/>
        </w:rPr>
        <w:t>Стоимость при</w:t>
      </w:r>
      <w:r>
        <w:rPr>
          <w:sz w:val="24"/>
          <w:szCs w:val="24"/>
        </w:rPr>
        <w:softHyphen/>
        <w:t>влечения новых средств, принима</w:t>
      </w:r>
      <w:r>
        <w:rPr>
          <w:sz w:val="24"/>
          <w:szCs w:val="24"/>
        </w:rPr>
        <w:softHyphen/>
        <w:t xml:space="preserve">ющая во внимание существующую </w:t>
      </w:r>
      <w:r>
        <w:rPr>
          <w:spacing w:val="-5"/>
          <w:sz w:val="24"/>
          <w:szCs w:val="24"/>
        </w:rPr>
        <w:t xml:space="preserve">структуру капитала и преобладающие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центные ставки.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Экономическая ……………… …………….. </w:t>
      </w:r>
      <w:r>
        <w:rPr>
          <w:bCs/>
          <w:spacing w:val="-6"/>
          <w:sz w:val="24"/>
          <w:szCs w:val="24"/>
        </w:rPr>
        <w:t xml:space="preserve"> (Е</w:t>
      </w:r>
      <w:proofErr w:type="gramStart"/>
      <w:r>
        <w:rPr>
          <w:bCs/>
          <w:spacing w:val="-6"/>
          <w:sz w:val="24"/>
          <w:szCs w:val="24"/>
          <w:lang w:val="en-US"/>
        </w:rPr>
        <w:t>V</w:t>
      </w:r>
      <w:proofErr w:type="gramEnd"/>
      <w:r>
        <w:rPr>
          <w:bCs/>
          <w:spacing w:val="-6"/>
          <w:sz w:val="24"/>
          <w:szCs w:val="24"/>
        </w:rPr>
        <w:t xml:space="preserve">А). </w:t>
      </w:r>
      <w:r>
        <w:rPr>
          <w:spacing w:val="-6"/>
          <w:sz w:val="24"/>
          <w:szCs w:val="24"/>
        </w:rPr>
        <w:t>Рентабельность капита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ла минус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ходы на привлечение </w:t>
      </w:r>
      <w:r>
        <w:rPr>
          <w:spacing w:val="-3"/>
          <w:sz w:val="24"/>
          <w:szCs w:val="24"/>
        </w:rPr>
        <w:t xml:space="preserve">капитала умножить на используемый </w:t>
      </w:r>
      <w:r>
        <w:rPr>
          <w:sz w:val="24"/>
          <w:szCs w:val="24"/>
        </w:rPr>
        <w:t>капитал.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 xml:space="preserve"> …………….. …………….. В узком смысле </w:t>
      </w:r>
      <w:r>
        <w:rPr>
          <w:spacing w:val="-5"/>
          <w:sz w:val="24"/>
          <w:szCs w:val="24"/>
        </w:rPr>
        <w:t>банковская организация, которая при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>нимает депозиты до востребования и выдает коммерческие кредиты.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12. ………… - ………… План деятельности </w:t>
      </w:r>
      <w:r>
        <w:rPr>
          <w:sz w:val="24"/>
          <w:szCs w:val="24"/>
        </w:rPr>
        <w:t>и конкурентной борьбы на рынке.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 ………… … ………… (В2В).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Электрон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ное взаимодействие между предпри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ятиями.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14.………… …  …………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(В2С).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Элек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тронное взаимодействие предприятия </w:t>
      </w:r>
      <w:r>
        <w:rPr>
          <w:sz w:val="24"/>
          <w:szCs w:val="24"/>
        </w:rPr>
        <w:t>с клиентом.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…………. ………… - банк-корреспондент, при</w:t>
      </w:r>
      <w:r>
        <w:rPr>
          <w:sz w:val="24"/>
          <w:szCs w:val="24"/>
        </w:rPr>
        <w:softHyphen/>
        <w:t>надлежащий коммунальным банкам; 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зывает услуги банкам и не имеет права обслуживать широкую публику.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…………. ………. – это  банк, предостав</w:t>
      </w:r>
      <w:r>
        <w:rPr>
          <w:sz w:val="24"/>
          <w:szCs w:val="24"/>
        </w:rPr>
        <w:softHyphen/>
        <w:t>ляющий обслуживание другому бан</w:t>
      </w:r>
      <w:r>
        <w:rPr>
          <w:sz w:val="24"/>
          <w:szCs w:val="24"/>
        </w:rPr>
        <w:softHyphen/>
        <w:t>ку, назыв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емому банком-респонден</w:t>
      </w:r>
      <w:r>
        <w:rPr>
          <w:sz w:val="24"/>
          <w:szCs w:val="24"/>
        </w:rPr>
        <w:softHyphen/>
        <w:t>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17. …………. ……………. ………….. (ВНС).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Организация, владеющая од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ним или нескольк</w:t>
      </w:r>
      <w:r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>ми банками и име</w:t>
      </w:r>
      <w:r>
        <w:rPr>
          <w:spacing w:val="-4"/>
          <w:sz w:val="24"/>
          <w:szCs w:val="24"/>
        </w:rPr>
        <w:softHyphen/>
        <w:t xml:space="preserve">ющая обычно небанковские дочерние </w:t>
      </w:r>
      <w:r>
        <w:rPr>
          <w:sz w:val="24"/>
          <w:szCs w:val="24"/>
        </w:rPr>
        <w:t>компании.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18. ……………… - объединение бан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>ковской и страховой индустрии; пре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обладает в Европе.</w:t>
      </w:r>
    </w:p>
    <w:p w:rsidR="008814A4" w:rsidRDefault="008814A4" w:rsidP="008814A4">
      <w:pPr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А.2 Вопросы для индивидуального собеседования</w:t>
      </w: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основные подходы к определению стоимости.</w:t>
      </w:r>
    </w:p>
    <w:p w:rsidR="008814A4" w:rsidRDefault="008814A4" w:rsidP="008814A4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Назовите одну из важнейших целей менеджмента.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сущность рыночной стоимости, потребительной стоимости, внутренней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Как, по вашему мнению, влияет деловая репутация на стоимость банковского бизнеса? 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приведенную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экономическую добавленную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этапы оценки стоимости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особенности доходного, сравнительного, затратного методов оценки стоимости бизнеса?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Какие принципы оценки бизнеса, основанные на интересах собственника, вы знаете?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составные части отчета об оценке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определить чистые активы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С </w:t>
      </w:r>
      <w:proofErr w:type="gramStart"/>
      <w:r>
        <w:rPr>
          <w:bCs/>
          <w:spacing w:val="-1"/>
          <w:sz w:val="24"/>
          <w:szCs w:val="24"/>
        </w:rPr>
        <w:t>помощью</w:t>
      </w:r>
      <w:proofErr w:type="gramEnd"/>
      <w:r>
        <w:rPr>
          <w:bCs/>
          <w:spacing w:val="-1"/>
          <w:sz w:val="24"/>
          <w:szCs w:val="24"/>
        </w:rPr>
        <w:t xml:space="preserve"> каких показателей можно оценить адекватность капитала?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определяется балансовая стоимость собственного капитала (В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Е)?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 определяется денежный поток и как определяется дисконтированный денежный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ток? 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есть капитал банка, капитал первого уровня (основной) и капитал второго уровня (дополнительный)?</w:t>
      </w:r>
    </w:p>
    <w:p w:rsidR="008814A4" w:rsidRDefault="008814A4" w:rsidP="008814A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8814A4" w:rsidRDefault="008814A4" w:rsidP="008814A4">
      <w:pPr>
        <w:tabs>
          <w:tab w:val="left" w:pos="1134"/>
        </w:tabs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  <w:r w:rsidRPr="008814A4">
        <w:rPr>
          <w:b/>
          <w:sz w:val="24"/>
          <w:szCs w:val="24"/>
        </w:rPr>
        <w:t xml:space="preserve"> 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szCs w:val="24"/>
        </w:rPr>
      </w:pPr>
      <w:r>
        <w:rPr>
          <w:i/>
        </w:rPr>
        <w:t>В.1  Практические задания</w:t>
      </w:r>
      <w:r>
        <w:t xml:space="preserve"> </w:t>
      </w: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Варианты заданий, предусмотренных для выполнения в рамках проведения практических работ: </w:t>
      </w:r>
    </w:p>
    <w:p w:rsidR="008814A4" w:rsidRDefault="008814A4" w:rsidP="008814A4">
      <w:pPr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 Особенности применяемых подходов и методов в оценке банковского бизнеса: те</w:t>
      </w: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рия вопроса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Специфика банковского бизнеса. Необходимость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На основе отчетности (бухгалтерский баланс, годовой отчет) определите специфи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 банковского бизнеса, сравнив структуру его капитала, обязательств и активов с аналогичными показателями страховых компаний, негосударственных пенсионных фондов. Выявить характерные исключительно для банка статьи его активов и пассивов, объяснить их функциональное предназначение  и изучить динамику за последние три года. Заполнить таблицу.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71"/>
        <w:gridCol w:w="1971"/>
        <w:gridCol w:w="2295"/>
      </w:tblGrid>
      <w:tr w:rsidR="008814A4" w:rsidTr="008814A4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статьи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за период, %</w:t>
            </w:r>
          </w:p>
        </w:tc>
      </w:tr>
      <w:tr w:rsidR="008814A4" w:rsidTr="008814A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Отчета о финансовых результатах определите специфичность банковского бизнеса в контексте наиболее доходных статей, сравнив при этом результативность его работы с показателями отчетности страховых компаний, негосударственных пенсионных фондов.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Подходы и методы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На основе теоретического материала лекции и литературы, рекомендованной к изуч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составьте матрицу преимуществ и недостатков основных подходов в оценке стоимости бизнеса. Заполните таблицу.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701"/>
      </w:tblGrid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подходов и соответствующих им методов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Недостатки</w:t>
            </w: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Доходный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капитализации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дисконтирования денежных потоков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Затратный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стоимости чистых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ликвидационной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Сравнительный 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компании-аналога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сделок и отраслевых коэффициентов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качестве результата данной работы, определите наиболее эффективный с Вашей точки зрения подход, аргументируйте Вашу точку зрения.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 основе рекомендованной периодической литературы и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>, провед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 анализ наиболее распространенных в использовании методов оценки бизнеса в современной российской практике. Выясните причины доминирования отдельных методов. </w:t>
      </w:r>
    </w:p>
    <w:p w:rsidR="008814A4" w:rsidRDefault="008814A4" w:rsidP="008814A4">
      <w:pPr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2 Методики оценки рыночной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собственного капитала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достаточность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Таблица 1 </w:t>
      </w:r>
      <w:r>
        <w:rPr>
          <w:color w:val="000000"/>
          <w:sz w:val="24"/>
          <w:szCs w:val="24"/>
        </w:rPr>
        <w:t xml:space="preserve">Оценка достаточности собственного капитала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5"/>
        <w:gridCol w:w="1336"/>
        <w:gridCol w:w="1319"/>
        <w:gridCol w:w="1273"/>
        <w:gridCol w:w="1179"/>
      </w:tblGrid>
      <w:tr w:rsidR="008814A4" w:rsidTr="008814A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Необходимые для расчета статьи,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 компонентов капитала: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Эмиссионный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инвестиционных ценных бумаг, имеющихся для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иностранной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Субординированнный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Активы, взвешенные с учетом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основного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общего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Показатель оценки качества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эффективность использования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 Оценка эффективности использования уставного капитала банка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256"/>
        <w:gridCol w:w="1249"/>
        <w:gridCol w:w="1249"/>
        <w:gridCol w:w="1530"/>
        <w:gridCol w:w="1329"/>
      </w:tblGrid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Активы итого,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Чистая прибыль,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банковских активов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 на 1 руб. собственных средств  </w:t>
            </w:r>
            <w:r>
              <w:rPr>
                <w:b/>
                <w:sz w:val="16"/>
                <w:szCs w:val="16"/>
                <w:lang w:val="en-US"/>
              </w:rPr>
              <w:t>max</w:t>
            </w:r>
            <w:r>
              <w:rPr>
                <w:b/>
                <w:sz w:val="16"/>
                <w:szCs w:val="16"/>
              </w:rPr>
              <w:t xml:space="preserve"> 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привлеченных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Прибыль на 1 руб. УК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rFonts w:eastAsia="Calibri"/>
          <w:u w:val="single"/>
          <w:lang w:val="en-US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банковских обязательств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рассчитать рыночную стоимость акций и облигаций конкретного банка. Сделать вывод об эффективности.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Методики, оценить  качественный и количественный состав обязательств банка за последние три года.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25"/>
        <w:gridCol w:w="1700"/>
        <w:gridCol w:w="637"/>
        <w:gridCol w:w="567"/>
        <w:gridCol w:w="567"/>
        <w:gridCol w:w="1206"/>
        <w:gridCol w:w="1025"/>
      </w:tblGrid>
      <w:tr w:rsidR="008814A4" w:rsidTr="008814A4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rPr>
          <w:trHeight w:val="1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структуры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Депозиты до востребования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Срочные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Стабильные или основные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срочной структ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ры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Срочные и сберегательные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использования межбанковских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Межбанковские кредиты, включая кредиты Централ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 xml:space="preserve">ного банка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Сумма привлеченных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>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привлеченных средств по доходам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Доходы банка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Заемные средства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заемных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заемных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ресурсной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кл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>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Кредитовый оборот по счетам клиентов за период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«оседания» вкл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Остаток вкладов на начало периода </w:t>
            </w:r>
            <w:r>
              <w:rPr>
                <w:color w:val="000000"/>
                <w:sz w:val="16"/>
                <w:szCs w:val="16"/>
              </w:rPr>
              <w:t>- </w:t>
            </w:r>
            <w:r>
              <w:rPr>
                <w:iCs/>
                <w:color w:val="000000"/>
                <w:sz w:val="16"/>
                <w:szCs w:val="16"/>
              </w:rPr>
              <w:t xml:space="preserve">Остаток вкладов на конец 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Поступление во вклады за период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рыночной стоимости ценных бумаг банка, а также количественных и качественных показателей обязательств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качества банковских активов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лансов, отчетов о финансовых результатах и годовых отчетов банка) и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банковских активов с точки зрения ликвидности, доходности и рисков. Результаты расчета свести в таблицы.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 Оценка активов с точки зрения ликвидности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42"/>
        <w:gridCol w:w="1042"/>
        <w:gridCol w:w="1078"/>
        <w:gridCol w:w="1737"/>
        <w:gridCol w:w="1499"/>
      </w:tblGrid>
      <w:tr w:rsidR="008814A4" w:rsidTr="008814A4">
        <w:trPr>
          <w:trHeight w:val="161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Показатели ликвидности</w:t>
            </w:r>
          </w:p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(финансовой устойчивости)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Допустимое значение, установленное ЦБ РФ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мгновенной ликвидности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текущей ликвидности банка (Н3)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долгосрочной ликвидности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собственных средств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базового капитала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.1)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основного капитала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</w:tbl>
    <w:p w:rsidR="008814A4" w:rsidRDefault="008814A4" w:rsidP="008814A4">
      <w:pPr>
        <w:rPr>
          <w:rFonts w:eastAsia="Times New Roman"/>
          <w:i/>
          <w:sz w:val="20"/>
          <w:szCs w:val="20"/>
        </w:rPr>
      </w:pPr>
      <w:r>
        <w:t>Таблица 2 Оценка активов с точки зрения доходности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968"/>
        <w:gridCol w:w="2835"/>
        <w:gridCol w:w="709"/>
        <w:gridCol w:w="709"/>
        <w:gridCol w:w="709"/>
        <w:gridCol w:w="1304"/>
      </w:tblGrid>
      <w:tr w:rsidR="008814A4" w:rsidTr="008814A4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предоставленных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Проценты, полученные от </w:t>
            </w:r>
            <w:proofErr w:type="gramStart"/>
            <w:r>
              <w:rPr>
                <w:sz w:val="16"/>
                <w:szCs w:val="16"/>
              </w:rPr>
              <w:t>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</w:t>
            </w:r>
            <w:proofErr w:type="gramEnd"/>
            <w:r>
              <w:rPr>
                <w:sz w:val="16"/>
                <w:szCs w:val="16"/>
              </w:rPr>
              <w:t xml:space="preserve"> МБК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</w:t>
            </w:r>
            <w:proofErr w:type="gramStart"/>
            <w:r>
              <w:rPr>
                <w:sz w:val="16"/>
                <w:szCs w:val="16"/>
              </w:rPr>
              <w:t>предоставленных</w:t>
            </w:r>
            <w:proofErr w:type="gramEnd"/>
            <w:r>
              <w:rPr>
                <w:sz w:val="16"/>
                <w:szCs w:val="16"/>
              </w:rPr>
              <w:t xml:space="preserve"> МБК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 открытым счетам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открытых счетов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по депозитам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депозитов, предусмотренных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за кредиты, не </w:t>
            </w:r>
            <w:proofErr w:type="spellStart"/>
            <w:r>
              <w:rPr>
                <w:sz w:val="16"/>
                <w:szCs w:val="16"/>
              </w:rPr>
              <w:t>возвращеные</w:t>
            </w:r>
            <w:proofErr w:type="spellEnd"/>
            <w:r>
              <w:rPr>
                <w:sz w:val="16"/>
                <w:szCs w:val="16"/>
              </w:rPr>
              <w:t xml:space="preserve"> в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невозвращенных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просроченные 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величина просроченных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прочих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мещенных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других средств, по которым выплачиваются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Рд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Доходные активы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rPr>
          <w:rFonts w:eastAsia="Times New Roman"/>
          <w:sz w:val="16"/>
          <w:szCs w:val="16"/>
        </w:rPr>
      </w:pPr>
      <w:r>
        <w:t>Таблица 3 Оценка активов с точки зрения риска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992"/>
        <w:gridCol w:w="1559"/>
      </w:tblGrid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статей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риска,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группы, %</w:t>
            </w: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активов конкретного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ссудного, инвестиционного портфеля и имущественного комплекса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отчетов о финансовых результатах и годовых отчетов банка) и 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ссудного, инвестиционного портфеля и имущественного комплекса. Статистические данные и результаты расчета свести в таблицы.</w:t>
      </w:r>
    </w:p>
    <w:p w:rsidR="008814A4" w:rsidRDefault="008814A4" w:rsidP="008814A4">
      <w:pPr>
        <w:pStyle w:val="aff9"/>
        <w:spacing w:after="0"/>
        <w:ind w:firstLine="225"/>
        <w:jc w:val="both"/>
        <w:rPr>
          <w:shd w:val="clear" w:color="auto" w:fill="FFFFFF"/>
        </w:rPr>
      </w:pPr>
      <w:r>
        <w:rPr>
          <w:shd w:val="clear" w:color="auto" w:fill="FFFFFF"/>
        </w:rPr>
        <w:t>Таблица 1 Оценочные показатели кредитного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Доля кредитных вложений в активе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(вал</w:t>
            </w:r>
            <w:r>
              <w:rPr>
                <w:sz w:val="16"/>
                <w:szCs w:val="16"/>
                <w:shd w:val="clear" w:color="auto" w:fill="FFFFFF"/>
              </w:rPr>
              <w:t>ю</w:t>
            </w:r>
            <w:r>
              <w:rPr>
                <w:sz w:val="16"/>
                <w:szCs w:val="16"/>
                <w:shd w:val="clear" w:color="auto" w:fill="FFFFFF"/>
              </w:rPr>
              <w:t>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«агрессивности - осторожности» кредитной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кредитных вложений и со</w:t>
            </w:r>
            <w:r>
              <w:rPr>
                <w:sz w:val="16"/>
                <w:szCs w:val="16"/>
                <w:shd w:val="clear" w:color="auto" w:fill="FFFFFF"/>
              </w:rPr>
              <w:t>б</w:t>
            </w:r>
            <w:r>
              <w:rPr>
                <w:sz w:val="16"/>
                <w:szCs w:val="16"/>
                <w:shd w:val="clear" w:color="auto" w:fill="FFFFFF"/>
              </w:rPr>
              <w:t>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 xml:space="preserve">женность)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кредитного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проценты, полученные за пред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ставленные кредиты </w:t>
            </w:r>
          </w:p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за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кредитных вл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креди</w:t>
            </w:r>
            <w:r>
              <w:rPr>
                <w:sz w:val="16"/>
                <w:szCs w:val="16"/>
                <w:shd w:val="clear" w:color="auto" w:fill="FFFFFF"/>
              </w:rPr>
              <w:t>т</w:t>
            </w:r>
            <w:r>
              <w:rPr>
                <w:sz w:val="16"/>
                <w:szCs w:val="16"/>
                <w:shd w:val="clear" w:color="auto" w:fill="FFFFFF"/>
              </w:rPr>
              <w:t>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2 Оценочные показатели инвестиционного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Уровень активности банка на рынке ценных бумаг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бумаги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ги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Потенциальный запас ли</w:t>
            </w:r>
            <w:r>
              <w:rPr>
                <w:sz w:val="16"/>
                <w:szCs w:val="16"/>
                <w:shd w:val="clear" w:color="auto" w:fill="FFFFFF"/>
              </w:rPr>
              <w:t>к</w:t>
            </w:r>
            <w:r>
              <w:rPr>
                <w:sz w:val="16"/>
                <w:szCs w:val="16"/>
                <w:shd w:val="clear" w:color="auto" w:fill="FFFFFF"/>
              </w:rPr>
              <w:t>видности по сделкам с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ными бумагами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вложений в ценные бумаги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доходы, полученные по операц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ям с ценными бумагами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вложений в це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вложений в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3 Оценочные показатели имущественного комплекса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Уровень имущественного утяжеления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(основные средства, нематериальные активы и материальные запасы)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конец п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Фондоотдача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доходы банка (общая сума пр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центных доходов)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средняя величина им</w:t>
            </w:r>
            <w:r>
              <w:rPr>
                <w:sz w:val="16"/>
                <w:szCs w:val="16"/>
                <w:shd w:val="clear" w:color="auto" w:fill="FFFFFF"/>
              </w:rPr>
              <w:t>у</w:t>
            </w:r>
            <w:r>
              <w:rPr>
                <w:sz w:val="16"/>
                <w:szCs w:val="16"/>
                <w:shd w:val="clear" w:color="auto" w:fill="FFFFFF"/>
              </w:rPr>
              <w:t>щественных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имущественных активов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средняя велич</w:t>
            </w:r>
            <w:r>
              <w:rPr>
                <w:sz w:val="16"/>
                <w:szCs w:val="16"/>
                <w:shd w:val="clear" w:color="auto" w:fill="FFFFFF"/>
              </w:rPr>
              <w:t>и</w:t>
            </w:r>
            <w:r>
              <w:rPr>
                <w:sz w:val="16"/>
                <w:szCs w:val="16"/>
                <w:shd w:val="clear" w:color="auto" w:fill="FFFFFF"/>
              </w:rPr>
              <w:t>на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Фондоемкость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 величина имуществе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 банка (общая сума процентных дох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имущественных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имущ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ссудного, инвестиционного портфеля и имущественного комплекса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финансовой устойчивости и платежеспособности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>, оцените изменения и 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денции развития уровня рентабельности банковских активов и собственного капитала.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материалы лекции,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бухгалтерской отчетности и годовых отчетов банка) и  Методику, оценить финансовую устойчивость и платежеспособность банка. Статистические данные и результаты расчета свести в таблицу.</w:t>
      </w:r>
    </w:p>
    <w:p w:rsidR="008814A4" w:rsidRDefault="008814A4" w:rsidP="008814A4">
      <w:pPr>
        <w:rPr>
          <w:sz w:val="24"/>
          <w:szCs w:val="24"/>
        </w:rPr>
      </w:pPr>
      <w:r>
        <w:rPr>
          <w:sz w:val="24"/>
          <w:szCs w:val="24"/>
        </w:rPr>
        <w:t>Таблица Методика расчета показателей финансовой устойчивости и платежеспособности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1560"/>
        <w:gridCol w:w="1135"/>
        <w:gridCol w:w="1277"/>
        <w:gridCol w:w="708"/>
        <w:gridCol w:w="709"/>
        <w:gridCol w:w="709"/>
      </w:tblGrid>
      <w:tr w:rsidR="008814A4" w:rsidTr="008814A4">
        <w:trPr>
          <w:trHeight w:val="2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Алгоритм расчета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Нормативные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</w:tr>
      <w:tr w:rsidR="008814A4" w:rsidTr="008814A4">
        <w:trPr>
          <w:trHeight w:val="2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финансовой устойчивости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Достаточность фактического размера маржи платежесп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фактическ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го размера маржи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нормативного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размер платежеспособности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собственного капит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средства – нематериальные активы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собственных средств к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банка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долговой нагрузки,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ликвидности и платежеспособности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ликвидности,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Ликвидные активы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текущей плат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 w:righ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кредиторская зад-</w:t>
            </w:r>
            <w:proofErr w:type="spellStart"/>
            <w:r>
              <w:rPr>
                <w:sz w:val="16"/>
                <w:szCs w:val="16"/>
              </w:rPr>
              <w:t>ть</w:t>
            </w:r>
            <w:proofErr w:type="spellEnd"/>
            <w:r>
              <w:rPr>
                <w:sz w:val="16"/>
                <w:szCs w:val="16"/>
              </w:rPr>
              <w:t>, привлечен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рентабельности и убыточности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общей рент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бельности,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 собственного капитала,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уровня выплат,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выплаченные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получе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Уровень операционных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системы внутреннего контроля и показателей финансовой устойчивости и платежеспособности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 Методики оценки ликвидационной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стоимости банков при реорганизации и ликвидации.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материалы лекции, а также данные из годовых балансов банка о наличии и состоянии его имущественного комплекса, рассчитайте размер </w:t>
      </w:r>
      <w:r>
        <w:rPr>
          <w:spacing w:val="-3"/>
          <w:sz w:val="24"/>
          <w:szCs w:val="24"/>
        </w:rPr>
        <w:t>ликвидационной скидки и конкретного банка.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Методику и статистические данные за последний год (взятые из бухгалте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ской отчетности и годового отчета банка) произведите </w:t>
      </w:r>
      <w:r>
        <w:rPr>
          <w:spacing w:val="-3"/>
          <w:sz w:val="24"/>
          <w:szCs w:val="24"/>
        </w:rPr>
        <w:t>расчет стоимости банковского бизнеса при его ликвидации (реорганизации).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возможности увелич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ликвидационной стоимости имущества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ind w:left="-567" w:firstLine="567"/>
        <w:jc w:val="both"/>
        <w:rPr>
          <w:i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Оценочные средства для диагностирования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уровня «владеть»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i/>
          <w:szCs w:val="24"/>
        </w:rPr>
      </w:pPr>
      <w:r>
        <w:rPr>
          <w:i/>
        </w:rPr>
        <w:t xml:space="preserve">С.1 Индивидуальные творческие задания </w:t>
      </w:r>
    </w:p>
    <w:p w:rsidR="008814A4" w:rsidRDefault="008814A4" w:rsidP="008814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индивидуальных творческих заданий:</w:t>
      </w:r>
    </w:p>
    <w:p w:rsidR="008814A4" w:rsidRDefault="008814A4" w:rsidP="008814A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Проведите детальную оценку текущего состояния конкретного банка, используя данные отчетности и применяя методики оценивания достаточности и эффективности использования со</w:t>
      </w:r>
      <w:r>
        <w:rPr>
          <w:bCs/>
          <w:color w:val="000000"/>
          <w:sz w:val="24"/>
          <w:szCs w:val="24"/>
          <w:shd w:val="clear" w:color="auto" w:fill="FFFFFF"/>
        </w:rPr>
        <w:t>б</w:t>
      </w:r>
      <w:r>
        <w:rPr>
          <w:bCs/>
          <w:color w:val="000000"/>
          <w:sz w:val="24"/>
          <w:szCs w:val="24"/>
          <w:shd w:val="clear" w:color="auto" w:fill="FFFFFF"/>
        </w:rPr>
        <w:t>ственного капитала, обязательств, активов, портфелей (ссудного, инвестиционного и имуществе</w:t>
      </w:r>
      <w:r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ного), финансовой устойчивости и платежеспособности.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 Оформите Отчет о результатах проведенной оценки с необходимыми пояснительными ан</w:t>
      </w:r>
      <w:r>
        <w:rPr>
          <w:bCs/>
          <w:sz w:val="24"/>
          <w:szCs w:val="24"/>
          <w:shd w:val="clear" w:color="auto" w:fill="FFFFFF"/>
        </w:rPr>
        <w:t>а</w:t>
      </w:r>
      <w:r>
        <w:rPr>
          <w:bCs/>
          <w:sz w:val="24"/>
          <w:szCs w:val="24"/>
          <w:shd w:val="clear" w:color="auto" w:fill="FFFFFF"/>
        </w:rPr>
        <w:t xml:space="preserve">литическими записями к каждой из методик.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По </w:t>
      </w:r>
      <w:r>
        <w:rPr>
          <w:color w:val="000000"/>
          <w:sz w:val="24"/>
          <w:szCs w:val="24"/>
        </w:rPr>
        <w:t>результатам оценки текущего состояния банка (рыночной стоимости бизнеса) с</w:t>
      </w:r>
      <w:r>
        <w:rPr>
          <w:bCs/>
          <w:sz w:val="24"/>
          <w:szCs w:val="24"/>
          <w:shd w:val="clear" w:color="auto" w:fill="FFFFFF"/>
        </w:rPr>
        <w:t>формул</w:t>
      </w:r>
      <w:r>
        <w:rPr>
          <w:bCs/>
          <w:sz w:val="24"/>
          <w:szCs w:val="24"/>
          <w:shd w:val="clear" w:color="auto" w:fill="FFFFFF"/>
        </w:rPr>
        <w:t>и</w:t>
      </w:r>
      <w:r>
        <w:rPr>
          <w:bCs/>
          <w:sz w:val="24"/>
          <w:szCs w:val="24"/>
          <w:shd w:val="clear" w:color="auto" w:fill="FFFFFF"/>
        </w:rPr>
        <w:t>руйте рекомендации.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Проведите </w:t>
      </w:r>
      <w:r>
        <w:rPr>
          <w:bCs/>
          <w:sz w:val="24"/>
          <w:szCs w:val="24"/>
          <w:lang w:val="en-US"/>
        </w:rPr>
        <w:t>SWOT</w:t>
      </w:r>
      <w:r>
        <w:rPr>
          <w:bCs/>
          <w:sz w:val="24"/>
          <w:szCs w:val="24"/>
        </w:rPr>
        <w:t xml:space="preserve"> анализ </w:t>
      </w:r>
      <w:r>
        <w:rPr>
          <w:sz w:val="24"/>
          <w:szCs w:val="24"/>
        </w:rPr>
        <w:t>двух российских банков, принадлежащих к разным группам</w:t>
      </w:r>
      <w:r>
        <w:rPr>
          <w:bCs/>
          <w:sz w:val="24"/>
          <w:szCs w:val="24"/>
        </w:rPr>
        <w:t xml:space="preserve">? </w:t>
      </w:r>
      <w:r>
        <w:rPr>
          <w:sz w:val="24"/>
          <w:szCs w:val="24"/>
        </w:rPr>
        <w:t>Какие выводы позволяет сделать ваше исследование?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Проведите небольшое собственное исследование: соберите данные о рыночной и балансовой стоимости (либо в разные периоды для двух российских банков, принадлежащих к разным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пам и составьте простую линейную регрессию рыночной стоимости относительно балансовой.</w:t>
      </w:r>
      <w:proofErr w:type="gramEnd"/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кие выводы позволяет сделать ваше исследование?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8814A4" w:rsidRDefault="008814A4" w:rsidP="008814A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промежуточного контроля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>Примерный перечень вопросов  для сдачи экзамена</w:t>
      </w:r>
      <w:r>
        <w:rPr>
          <w:sz w:val="24"/>
          <w:szCs w:val="24"/>
        </w:rPr>
        <w:t xml:space="preserve">: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как специфические объекты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возможность, цели и принципы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варианты использования и отличительные особенности оценки рыночной и ликвидационной стоимости банковского бизнеса. </w:t>
      </w:r>
    </w:p>
    <w:p w:rsidR="008814A4" w:rsidRDefault="008814A4" w:rsidP="008814A4">
      <w:pPr>
        <w:pStyle w:val="a6"/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Взаимосвязь между целью оценки и видами стоимости, используемыми для оценки.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основанные на представлениях собственника (принципы полезн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замещения, ожидания).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рыночной средой (принципы зависимости,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ствия, регрессии и прогрессии, конкуренции, изменения, спроса и предложения, принцип разделения имущественных прав).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эксплуатацией объекта оценки (принцип факторов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изводства, принципы вклада, пропорциональности, наилучшего и наиболее эффективного использов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ния, принцип остаточной продуктивности земельного участка).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источники информации, используемой в процессе оценки. Система информации, внешняя и внутренняя информация.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подходы в оценке стоимости бизнеса, необходимость и варианты их применения.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Доходный подход в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использования методов затратного подхода при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Возможности использования методов сравнительного подхода к оценке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Собственный капитал банков: структура, функциональное предназначение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Достаточность банковского капитала: требования к минимальному размеру, методика оценки его стоимости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использования собственного капитала: ключевые понятия, методика оценки. 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оценки стоимости акций и облигаций.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 банков: необходимость, функциональное предназначение, структура  и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оценки банковских обязательств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банковского капитала и обязательства.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Активы банков: структура, особенности и принципы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Методика оценки банковских активов с точки зрения ликвидности, доходности и риска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Ссудный, инвестиционный, и портфель имущества: необходимость, функциональное предн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значение, структура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Методики оценки ссудного, инвестиционного портфеля и имущественного комплекса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банковских активов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Основные требования к финансовому положению банков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Общая оценка финансовой устойчивости банка.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Оценка системы внутреннего контроля.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Понятия и особенности процедур реорганизации, реструктуризации и ликвидации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Расчет ликвидационной скидки, факторы, определяющие ее значение и возможные изменения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Методика расчета стоимости банковского бизнеса при его ликвидации.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оценочных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</w:t>
      </w:r>
      <w:r>
        <w:rPr>
          <w:bCs/>
          <w:sz w:val="24"/>
          <w:szCs w:val="24"/>
        </w:rPr>
        <w:t xml:space="preserve">диагностирования </w:t>
      </w:r>
      <w:proofErr w:type="spellStart"/>
      <w:r>
        <w:rPr>
          <w:bCs/>
          <w:sz w:val="24"/>
          <w:szCs w:val="24"/>
        </w:rPr>
        <w:t>сформированности</w:t>
      </w:r>
      <w:proofErr w:type="spellEnd"/>
      <w:r>
        <w:rPr>
          <w:bCs/>
          <w:sz w:val="24"/>
          <w:szCs w:val="24"/>
        </w:rPr>
        <w:t xml:space="preserve"> компетенций разного уровня, а также для </w:t>
      </w:r>
      <w:r>
        <w:rPr>
          <w:sz w:val="24"/>
          <w:szCs w:val="24"/>
        </w:rPr>
        <w:t>промежуточного контроля по дисциплине «Оценка банковского бизнеса» применяется 4-х балльная шкала оценивания.</w:t>
      </w:r>
    </w:p>
    <w:tbl>
      <w:tblPr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410"/>
        <w:gridCol w:w="2410"/>
      </w:tblGrid>
      <w:tr w:rsidR="008814A4" w:rsidTr="008814A4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тестовых заданий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4111"/>
      </w:tblGrid>
      <w:tr w:rsidR="008814A4" w:rsidTr="008814A4">
        <w:trPr>
          <w:trHeight w:val="7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lastRenderedPageBreak/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Критерии</w:t>
            </w:r>
          </w:p>
        </w:tc>
      </w:tr>
      <w:tr w:rsidR="008814A4" w:rsidTr="008814A4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514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стовых заданий;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выпо</w:t>
            </w:r>
            <w:r>
              <w:rPr>
                <w:rStyle w:val="3f2"/>
                <w:sz w:val="24"/>
                <w:szCs w:val="24"/>
              </w:rPr>
              <w:t>л</w:t>
            </w:r>
            <w:r>
              <w:rPr>
                <w:rStyle w:val="3f2"/>
                <w:sz w:val="24"/>
                <w:szCs w:val="24"/>
              </w:rPr>
              <w:t>нения;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75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Правильность ответов на вопросы;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тест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рования.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86 и более процентов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даний предложенного теста, в зад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ниях открытого типа дан полный, развернутый ответ на поставленный вопрос.</w:t>
            </w:r>
          </w:p>
        </w:tc>
      </w:tr>
      <w:tr w:rsidR="008814A4" w:rsidTr="008814A4">
        <w:trPr>
          <w:trHeight w:val="1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71 до 85%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полный, разверн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тый ответ на поставленный вопрос; однако были допущены неточности в определении понятий, терминов.</w:t>
            </w:r>
          </w:p>
        </w:tc>
      </w:tr>
      <w:tr w:rsidR="008814A4" w:rsidTr="008814A4">
        <w:trPr>
          <w:trHeight w:val="1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50 до 70 %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неполный ответ на поставленный вопрос, в тексте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пущены орфографические ошибки.</w:t>
            </w:r>
          </w:p>
        </w:tc>
      </w:tr>
      <w:tr w:rsidR="008814A4" w:rsidTr="008814A4">
        <w:trPr>
          <w:trHeight w:val="11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менее 50 % заданий предложенного теста,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ные вопросы ответ отсутствует или неполный.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Оценивание выполнения </w:t>
      </w:r>
      <w:r>
        <w:rPr>
          <w:rStyle w:val="affffff0"/>
          <w:rFonts w:eastAsiaTheme="minorHAnsi"/>
          <w:i w:val="0"/>
          <w:sz w:val="24"/>
          <w:szCs w:val="24"/>
        </w:rPr>
        <w:t>практических заданий</w:t>
      </w:r>
      <w:r>
        <w:rPr>
          <w:b/>
          <w:sz w:val="24"/>
          <w:szCs w:val="24"/>
        </w:rPr>
        <w:t xml:space="preserve"> 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торской позиции докладч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вопросы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отличается оригинальностью,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слеживается четко сформулирова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 xml:space="preserve">ная авторская позиция относительно результатов проведенного анализа.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 xml:space="preserve"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содержит результаты проведенного анализа. В процессе защиты работы </w:t>
            </w:r>
            <w:r>
              <w:rPr>
                <w:rStyle w:val="3f2"/>
                <w:sz w:val="24"/>
                <w:szCs w:val="24"/>
              </w:rPr>
              <w:lastRenderedPageBreak/>
              <w:t>недостаточно четко формулируются ход проведенного 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Все нео</w:t>
            </w:r>
            <w:r>
              <w:rPr>
                <w:rStyle w:val="3f2"/>
                <w:sz w:val="24"/>
                <w:szCs w:val="24"/>
              </w:rPr>
              <w:t>б</w:t>
            </w:r>
            <w:r>
              <w:rPr>
                <w:rStyle w:val="3f2"/>
                <w:sz w:val="24"/>
                <w:szCs w:val="24"/>
              </w:rPr>
              <w:t>ходимые расчеты выполнены, оп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раются на приложенные к работе формы финансовой (бухгалтерской) отчетности, однако, встречаются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точности и ошибки. Пояснительная записка объясняет не все результаты проведенного анализа. В процессе защиты работы недостаточно четко формулируются ход проведенного исследования и его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решено.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2. 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авторской позиции;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</w:rPr>
              <w:t>Наличие мультимедийн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сопровождения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 xml:space="preserve">стовая часть задания отличается оригинальностью, прослеживается четко сформулированная авторская позиция относительно результатов проведенного анализа. Подготовлена мультимедийная презентация.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своевременно сдано.  Текстовая часть содержит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 проведенного анализа. Мультимедийная презентация оформлена с замечаниями (мелкий шрифт, нарушена последовател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 xml:space="preserve">ность слайдов и т.п.). В процессе защиты работы недостаточно четко формулируются ход проведенного </w:t>
            </w:r>
            <w:r>
              <w:rPr>
                <w:rStyle w:val="3f2"/>
                <w:sz w:val="24"/>
                <w:szCs w:val="24"/>
              </w:rPr>
              <w:lastRenderedPageBreak/>
              <w:t>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Тестовая часть объясняет не все результаты проведенного анализа. Отсутствует мультимедийная презентация. В процессе защиты работы недост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точно четко формулируются ход проведенного исследования и его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выполнено. Выполненная работа и доклад не соответствуют теме.</w:t>
            </w:r>
          </w:p>
        </w:tc>
      </w:tr>
    </w:tbl>
    <w:p w:rsidR="008814A4" w:rsidRDefault="008814A4" w:rsidP="008814A4">
      <w:pPr>
        <w:jc w:val="both"/>
        <w:rPr>
          <w:rFonts w:eastAsia="Times New Roman"/>
          <w:sz w:val="24"/>
          <w:szCs w:val="24"/>
        </w:rPr>
      </w:pPr>
      <w:r>
        <w:rPr>
          <w:rStyle w:val="affffff1"/>
          <w:rFonts w:eastAsiaTheme="minorHAnsi"/>
          <w:bCs w:val="0"/>
          <w:sz w:val="24"/>
          <w:szCs w:val="24"/>
        </w:rPr>
        <w:t>Оценивание ответа на экзамене</w:t>
      </w:r>
      <w:r>
        <w:rPr>
          <w:sz w:val="24"/>
          <w:szCs w:val="24"/>
        </w:rPr>
        <w:t xml:space="preserve">  </w:t>
      </w:r>
    </w:p>
    <w:tbl>
      <w:tblPr>
        <w:tblOverlap w:val="never"/>
        <w:tblW w:w="992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8814A4" w:rsidTr="008814A4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изложения теоретического материала;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 правильность решения практического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Аргументированность изложения материала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Культура речи;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</w:pPr>
            <w:r>
              <w:rPr>
                <w:rStyle w:val="3f2"/>
                <w:sz w:val="24"/>
                <w:szCs w:val="24"/>
              </w:rPr>
              <w:t xml:space="preserve"> Умение вступать в ди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логовое общение.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c1"/>
              <w:tabs>
                <w:tab w:val="left" w:pos="993"/>
              </w:tabs>
              <w:spacing w:before="0" w:after="0"/>
              <w:ind w:left="132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глубокое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нание фактического материла по дисциплине, свободное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понятиями системы знаний по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циплине, умение объяснять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понятий, умение выделять главное в учебном материале,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самостоятельному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ру, решению, умение найти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способ решения проблемной ситуации, умение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стандартных и нестандартных ситуациях, логичное и доказательное изложение учебного материала,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точной речью,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арг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ментировано отвечать па вопросы;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8814A4" w:rsidTr="008814A4">
        <w:trPr>
          <w:trHeight w:val="3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развернутый ответ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ный вопрос, где студент демонстр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рует знания, приобретенные на ле</w:t>
            </w:r>
            <w:r>
              <w:rPr>
                <w:rStyle w:val="3f2"/>
                <w:sz w:val="24"/>
                <w:szCs w:val="24"/>
              </w:rPr>
              <w:t>к</w:t>
            </w:r>
            <w:r>
              <w:rPr>
                <w:rStyle w:val="3f2"/>
                <w:sz w:val="24"/>
                <w:szCs w:val="24"/>
              </w:rPr>
              <w:t>ционных и практических  занятиях, а также полученные посредством из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чения обязательных учебных матер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 xml:space="preserve">алов </w:t>
            </w:r>
            <w:proofErr w:type="gramStart"/>
            <w:r>
              <w:rPr>
                <w:rStyle w:val="3f2"/>
                <w:sz w:val="24"/>
                <w:szCs w:val="24"/>
              </w:rPr>
              <w:t>по</w:t>
            </w:r>
            <w:proofErr w:type="gramEnd"/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</w:pPr>
            <w:r>
              <w:rPr>
                <w:rStyle w:val="3f2"/>
                <w:sz w:val="24"/>
                <w:szCs w:val="24"/>
              </w:rPr>
              <w:t>курсу, дает аргументированные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ты, приводит примеры, в ответе пр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сутствует свободное владение мон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логической речью, логичность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следовательность ответа. Однако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пускается неточность в ответе. Пре</w:t>
            </w:r>
            <w:r>
              <w:rPr>
                <w:rStyle w:val="3f2"/>
                <w:sz w:val="24"/>
                <w:szCs w:val="24"/>
              </w:rPr>
              <w:t>д</w:t>
            </w:r>
            <w:r>
              <w:rPr>
                <w:rStyle w:val="3f2"/>
                <w:sz w:val="24"/>
                <w:szCs w:val="24"/>
              </w:rPr>
              <w:t>ложенные задания решены с небол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шими неточностями.</w:t>
            </w:r>
          </w:p>
        </w:tc>
      </w:tr>
      <w:tr w:rsidR="008814A4" w:rsidTr="008814A4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свидетельствующий в о</w:t>
            </w:r>
            <w:r>
              <w:rPr>
                <w:rStyle w:val="3f2"/>
                <w:sz w:val="24"/>
                <w:szCs w:val="24"/>
              </w:rPr>
              <w:t>с</w:t>
            </w:r>
            <w:r>
              <w:rPr>
                <w:rStyle w:val="3f2"/>
                <w:sz w:val="24"/>
                <w:szCs w:val="24"/>
              </w:rPr>
              <w:t>новном о знании процессов изуча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мой дисциплины, отличающийся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достаточной глубиной и полнотой раскрытия темы, знанием основных вопросов теории, слабо сформир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ской речью, логичностью и послед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вательностью ответа. Допускается несколько ошибок в содержании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 и решении тестовых заданий.</w:t>
            </w:r>
          </w:p>
        </w:tc>
      </w:tr>
      <w:tr w:rsidR="008814A4" w:rsidTr="008814A4">
        <w:trPr>
          <w:trHeight w:val="4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который содержит ряд с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рьезных неточностей, обнаружив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ющий незнание процессов изучаемой предметной области, отличающийся неглубоким раскрытием темы,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знанием основных вопросов теории, несформированными навыками ан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лиза явлений, процессов, неумением давать аргументированные ответы, слабым владением монологической речью, отсутствием логичности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следовательности. Выводы повер</w:t>
            </w:r>
            <w:r>
              <w:rPr>
                <w:rStyle w:val="3f2"/>
                <w:sz w:val="24"/>
                <w:szCs w:val="24"/>
              </w:rPr>
              <w:t>х</w:t>
            </w:r>
            <w:r>
              <w:rPr>
                <w:rStyle w:val="3f2"/>
                <w:sz w:val="24"/>
                <w:szCs w:val="24"/>
              </w:rPr>
              <w:t>ностны. Студент не способен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тить на вопросы даже при дополн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тельных наводящих вопросах преп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давателя.</w:t>
            </w:r>
          </w:p>
        </w:tc>
      </w:tr>
    </w:tbl>
    <w:p w:rsidR="008814A4" w:rsidRDefault="008814A4" w:rsidP="008814A4">
      <w:pPr>
        <w:pStyle w:val="64"/>
        <w:shd w:val="clear" w:color="auto" w:fill="auto"/>
        <w:spacing w:line="24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экзаменационный билет включено два теоретических вопроса и задание тестового характера, соответствующие содержанию формируемых компетенций. Все теоретические вопросы, составляющие содержание билетов, включены в перечень примерных вопросов к экзамену, содержатся в методических указаниях и Рабочей программе по курсу, изучаются в течение семестра на лекционных и практических занятиях. Тестовые задания </w:t>
      </w:r>
      <w:proofErr w:type="spellStart"/>
      <w:r>
        <w:rPr>
          <w:sz w:val="24"/>
          <w:szCs w:val="24"/>
        </w:rPr>
        <w:t>прорешиваются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самостоятельно в течение семестра.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Экзамен проводится в устной форме. На ответ и решение задачи студенту отводится 30  минут. За правильный ответ на теоретические вопросы и решение тестового задания студент может получить оценку «отлично». За нерешенное тестовое задание или допущенные неточности в ответе на теоретич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ские вопросы оценка снижается на один балл. Отсутствие ответа на один их теоретических вопросов и нерешенное тестовое задание, допущенные грубые ошибки при ответе – на два балла. Отсутствие ответа на </w:t>
      </w:r>
      <w:proofErr w:type="gramStart"/>
      <w:r>
        <w:rPr>
          <w:sz w:val="24"/>
          <w:szCs w:val="24"/>
        </w:rPr>
        <w:t>все задания, включенные в экзаменационный билет подразумевает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неаттестацию</w:t>
      </w:r>
      <w:proofErr w:type="spellEnd"/>
      <w:r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гося по итогам семестра. 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  <w:shd w:val="clear" w:color="auto" w:fill="FFFFFF"/>
        </w:rPr>
      </w:pPr>
    </w:p>
    <w:p w:rsidR="00FB2173" w:rsidRPr="00C73E00" w:rsidRDefault="00FB2173" w:rsidP="008814A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FB2173" w:rsidRPr="00C73E00" w:rsidSect="00C73E0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E5" w:rsidRDefault="00B76BE5" w:rsidP="00C73E00">
      <w:pPr>
        <w:spacing w:after="0" w:line="240" w:lineRule="auto"/>
      </w:pPr>
      <w:r>
        <w:separator/>
      </w:r>
    </w:p>
  </w:endnote>
  <w:endnote w:type="continuationSeparator" w:id="0">
    <w:p w:rsidR="00B76BE5" w:rsidRDefault="00B76BE5" w:rsidP="00C7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0" w:rsidRPr="00C73E00" w:rsidRDefault="00C73E00" w:rsidP="00C73E0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3718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E5" w:rsidRDefault="00B76BE5" w:rsidP="00C73E00">
      <w:pPr>
        <w:spacing w:after="0" w:line="240" w:lineRule="auto"/>
      </w:pPr>
      <w:r>
        <w:separator/>
      </w:r>
    </w:p>
  </w:footnote>
  <w:footnote w:type="continuationSeparator" w:id="0">
    <w:p w:rsidR="00B76BE5" w:rsidRDefault="00B76BE5" w:rsidP="00C7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A890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C2A1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DC9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7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482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0EF8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2E8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2ED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E856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DE57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D36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BA1B4D"/>
    <w:multiLevelType w:val="hybridMultilevel"/>
    <w:tmpl w:val="88B61FF0"/>
    <w:lvl w:ilvl="0" w:tplc="5AC4ADF2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C134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AE277D"/>
    <w:multiLevelType w:val="hybridMultilevel"/>
    <w:tmpl w:val="115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2A4"/>
    <w:multiLevelType w:val="hybridMultilevel"/>
    <w:tmpl w:val="FC26D234"/>
    <w:lvl w:ilvl="0" w:tplc="80C205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B08"/>
    <w:multiLevelType w:val="hybridMultilevel"/>
    <w:tmpl w:val="8EA26E1A"/>
    <w:lvl w:ilvl="0" w:tplc="737E24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E4675"/>
    <w:multiLevelType w:val="hybridMultilevel"/>
    <w:tmpl w:val="9E26A230"/>
    <w:lvl w:ilvl="0" w:tplc="7DCEEEA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89581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0"/>
    <w:rsid w:val="00337182"/>
    <w:rsid w:val="00374F8F"/>
    <w:rsid w:val="008814A4"/>
    <w:rsid w:val="009330C4"/>
    <w:rsid w:val="00B76BE5"/>
    <w:rsid w:val="00C41AEF"/>
    <w:rsid w:val="00C73E00"/>
    <w:rsid w:val="00E77F24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14:49:15|Версия программы "Учебные планы": 1.0.11.167|ID_UP_DISC:1828650;ID_SPEC_LOC:5181;YEAR_POTOK:2021;ID_SUBJ:8472;SHIFR:Б1.Д.В.Э.3.2;ZE_PLANNED:6;IS_RASPRED_PRACT:0;TYPE_GROUP_PRACT:;ID_TYPE_PLACE_PRACT:;ID_TYPE_DOP_PRACT:;ID_TYPE_FORM_PRACT:;UPDZES:Sem-7,ZE-6;UPZ:Sem-7,ID_TZ-1,HOUR-18;UPZ:Sem-7,ID_TZ-2,HOUR-34;UPZ:Sem-7,ID_TZ-4,HOUR-164;UPC:Sem-7,ID_TC-9,Recert-0;UPDK:ID_KAF-6134,Sem-;FOOTHOLD:Shifr-Б1.Д.В.7,ID_SUBJ-1865;COMPET:Shifr-ПК*&lt;tire&gt;1,NAME-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решений;COMPET_FOOTHOLD:Shifr-ПК*&lt;tire&gt;5,NAME-Способен проводить исследования финансового рынка и формировать предложения по инвестиционным и финансовым решениям</dc:description>
  <cp:lastModifiedBy>Пользователь</cp:lastModifiedBy>
  <cp:revision>5</cp:revision>
  <dcterms:created xsi:type="dcterms:W3CDTF">2021-04-30T09:54:00Z</dcterms:created>
  <dcterms:modified xsi:type="dcterms:W3CDTF">2021-11-24T12:03:00Z</dcterms:modified>
</cp:coreProperties>
</file>