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Pr="0019141E" w:rsidRDefault="0019141E" w:rsidP="0019141E">
      <w:pPr>
        <w:pStyle w:val="ReportHead"/>
        <w:suppressAutoHyphens/>
        <w:jc w:val="left"/>
        <w:rPr>
          <w:i/>
          <w:sz w:val="24"/>
        </w:rPr>
      </w:pPr>
      <w:r w:rsidRPr="0019141E">
        <w:rPr>
          <w:i/>
          <w:sz w:val="24"/>
        </w:rPr>
        <w:t xml:space="preserve">                                                                       </w:t>
      </w:r>
      <w:proofErr w:type="spellStart"/>
      <w:r w:rsidRPr="0019141E">
        <w:rPr>
          <w:i/>
          <w:sz w:val="24"/>
        </w:rPr>
        <w:t>О</w:t>
      </w:r>
      <w:r w:rsidR="00E254C1" w:rsidRPr="0019141E">
        <w:rPr>
          <w:i/>
          <w:sz w:val="24"/>
        </w:rPr>
        <w:t>чная</w:t>
      </w:r>
      <w:proofErr w:type="gramStart"/>
      <w:r w:rsidR="00447562">
        <w:rPr>
          <w:i/>
          <w:sz w:val="24"/>
        </w:rPr>
        <w:t>.з</w:t>
      </w:r>
      <w:proofErr w:type="gramEnd"/>
      <w:r w:rsidR="00447562">
        <w:rPr>
          <w:i/>
          <w:sz w:val="24"/>
        </w:rPr>
        <w:t>аочная</w:t>
      </w:r>
      <w:proofErr w:type="spellEnd"/>
    </w:p>
    <w:p w:rsidR="00E254C1" w:rsidRPr="0019141E" w:rsidRDefault="00E254C1" w:rsidP="00E254C1">
      <w:pPr>
        <w:pStyle w:val="ReportHead"/>
        <w:suppressAutoHyphens/>
        <w:rPr>
          <w:sz w:val="24"/>
          <w:u w:val="single"/>
        </w:rPr>
      </w:pPr>
    </w:p>
    <w:p w:rsidR="00857964" w:rsidRPr="0019141E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  <w:u w:val="single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475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4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4756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обучающихся по направлению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E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23.03.03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Эксплуатация транспортн</w:t>
      </w:r>
      <w:proofErr w:type="gramStart"/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машин и комплексов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44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4756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351363" w:rsidRDefault="00351363" w:rsidP="0035136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51363" w:rsidRDefault="00351363" w:rsidP="00351363">
      <w:pPr>
        <w:pStyle w:val="ReportMain"/>
        <w:suppressAutoHyphens/>
        <w:ind w:firstLine="709"/>
        <w:jc w:val="both"/>
        <w:rPr>
          <w:lang/>
        </w:rPr>
      </w:pPr>
      <w:r>
        <w:t>Дисциплина относится к базовой части блока 1 «Дисциплины (модули)»</w:t>
      </w:r>
    </w:p>
    <w:p w:rsidR="00351363" w:rsidRDefault="00351363" w:rsidP="00351363">
      <w:pPr>
        <w:pStyle w:val="ReportMain"/>
        <w:suppressAutoHyphens/>
        <w:ind w:firstLine="709"/>
        <w:jc w:val="both"/>
      </w:pPr>
    </w:p>
    <w:p w:rsidR="00351363" w:rsidRDefault="00351363" w:rsidP="0035136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</w:t>
      </w:r>
    </w:p>
    <w:p w:rsidR="00351363" w:rsidRDefault="00351363" w:rsidP="00351363">
      <w:pPr>
        <w:pStyle w:val="ReportMain"/>
        <w:suppressAutoHyphens/>
        <w:ind w:firstLine="709"/>
        <w:jc w:val="both"/>
      </w:pPr>
    </w:p>
    <w:p w:rsidR="00351363" w:rsidRDefault="00351363" w:rsidP="0035136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Б.1.Б.12 Теплотехника, Б.1.Б.30 Психология труда и инженерная психология</w:t>
      </w:r>
    </w:p>
    <w:p w:rsidR="00351363" w:rsidRDefault="00351363" w:rsidP="00351363">
      <w:pPr>
        <w:pStyle w:val="ReportMain"/>
        <w:suppressAutoHyphens/>
        <w:jc w:val="both"/>
        <w:rPr>
          <w:i/>
        </w:rPr>
      </w:pPr>
    </w:p>
    <w:p w:rsidR="00351363" w:rsidRDefault="00351363" w:rsidP="00351363">
      <w:pPr>
        <w:pStyle w:val="ReportMain"/>
        <w:suppressAutoHyphens/>
        <w:ind w:firstLine="709"/>
        <w:jc w:val="both"/>
        <w:rPr>
          <w:lang/>
        </w:rPr>
      </w:pPr>
    </w:p>
    <w:p w:rsidR="00351363" w:rsidRDefault="00351363" w:rsidP="0035136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351363" w:rsidRDefault="00351363" w:rsidP="0035136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51363" w:rsidRDefault="00351363" w:rsidP="00351363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51363" w:rsidTr="00351363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63" w:rsidRDefault="0035136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63" w:rsidRDefault="0035136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351363" w:rsidTr="0035136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63" w:rsidRDefault="0035136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351363" w:rsidRDefault="0035136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351363" w:rsidRDefault="0035136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63" w:rsidRDefault="0035136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ОК-1 способностью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351363" w:rsidP="00B93A08">
      <w:pPr>
        <w:pStyle w:val="2"/>
        <w:ind w:firstLine="0"/>
        <w:rPr>
          <w:szCs w:val="28"/>
        </w:rPr>
      </w:pPr>
      <w:r>
        <w:rPr>
          <w:rFonts w:eastAsiaTheme="minorHAnsi"/>
          <w:b/>
          <w:sz w:val="24"/>
          <w:lang w:eastAsia="en-US"/>
        </w:rPr>
        <w:lastRenderedPageBreak/>
        <w:t xml:space="preserve">В </w:t>
      </w:r>
      <w:r w:rsidR="00400ABA">
        <w:rPr>
          <w:szCs w:val="28"/>
        </w:rPr>
        <w:t>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D4BB5" w:rsidRDefault="003D4BB5" w:rsidP="003D4BB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3D4BB5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3D4BB5" w:rsidTr="003D4BB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3D4BB5" w:rsidTr="003D4BB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4BB5" w:rsidTr="003D4BB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</w:pPr>
            <w:r>
              <w:rPr>
                <w:szCs w:val="24"/>
              </w:rPr>
              <w:t>Исторические типы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4BB5" w:rsidTr="003D4BB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4BB5" w:rsidTr="003D4BB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</w:pPr>
            <w:r>
              <w:rPr>
                <w:szCs w:val="24"/>
              </w:rPr>
              <w:t>Субъект и объект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4BB5" w:rsidTr="003D4BB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D4BB5" w:rsidTr="003D4BB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5" w:rsidRDefault="003D4BB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5" w:rsidRDefault="003D4BB5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B5" w:rsidRDefault="003D4BB5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87E97" w:rsidRDefault="00587E97" w:rsidP="00587E9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87E97" w:rsidTr="00587E97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87E97" w:rsidTr="00587E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87E97" w:rsidTr="00587E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Субъект и объект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87E97" w:rsidTr="00587E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87E97" w:rsidTr="00587E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7" w:rsidRDefault="00587E9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87E97">
        <w:t>Философия как форма духовной культуры.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</w:t>
      </w:r>
      <w:r w:rsidR="00DF2339">
        <w:rPr>
          <w:szCs w:val="24"/>
        </w:rPr>
        <w:lastRenderedPageBreak/>
        <w:t>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587E97">
        <w:t xml:space="preserve"> :</w:t>
      </w:r>
      <w:proofErr w:type="gramEnd"/>
      <w:r w:rsidR="00587E97">
        <w:t xml:space="preserve"> Исторические типы философии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 xml:space="preserve">с 4 по 9),блок С( С 4по9) в соответствии с уровнями компетенций оцениваются знания и умения студента с учетом </w:t>
      </w:r>
      <w:r>
        <w:rPr>
          <w:szCs w:val="24"/>
        </w:rPr>
        <w:lastRenderedPageBreak/>
        <w:t>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87E97">
        <w:rPr>
          <w:sz w:val="28"/>
          <w:szCs w:val="28"/>
        </w:rPr>
        <w:t>рактическое занятие№3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</w:t>
      </w:r>
      <w:r w:rsidR="00587E97">
        <w:rPr>
          <w:sz w:val="28"/>
          <w:szCs w:val="28"/>
        </w:rPr>
        <w:t>кое занятие№4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87E97">
        <w:rPr>
          <w:rFonts w:ascii="Calibri" w:eastAsia="Times New Roman" w:hAnsi="Calibri"/>
        </w:rPr>
        <w:t>Субъект и объект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587E97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87E97">
        <w:rPr>
          <w:sz w:val="28"/>
          <w:szCs w:val="28"/>
        </w:rPr>
        <w:t>рактическое занятие№5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</w:t>
      </w:r>
      <w:r w:rsidR="00587E97">
        <w:rPr>
          <w:szCs w:val="24"/>
        </w:rPr>
        <w:t>нал. - Оренбург</w:t>
      </w:r>
      <w:proofErr w:type="gramStart"/>
      <w:r w:rsidR="00587E97">
        <w:rPr>
          <w:szCs w:val="24"/>
        </w:rPr>
        <w:t xml:space="preserve"> :</w:t>
      </w:r>
      <w:proofErr w:type="gramEnd"/>
      <w:r w:rsidR="00587E97">
        <w:rPr>
          <w:szCs w:val="24"/>
        </w:rPr>
        <w:t xml:space="preserve"> ГОУ ОГУ, 2020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</w:t>
      </w:r>
      <w:r w:rsidR="00587E97">
        <w:rPr>
          <w:szCs w:val="24"/>
        </w:rPr>
        <w:t>ные знания, 2020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1F4778">
        <w:pPr>
          <w:pStyle w:val="a7"/>
          <w:jc w:val="center"/>
        </w:pPr>
        <w:r>
          <w:fldChar w:fldCharType="begin"/>
        </w:r>
        <w:r w:rsidR="00F109ED">
          <w:instrText>PAGE   \* MERGEFORMAT</w:instrText>
        </w:r>
        <w:r>
          <w:fldChar w:fldCharType="separate"/>
        </w:r>
        <w:r w:rsidR="003513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4BA5"/>
    <w:rsid w:val="001F4778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3213A2"/>
    <w:rsid w:val="00333814"/>
    <w:rsid w:val="00336374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E60"/>
    <w:rsid w:val="003D2372"/>
    <w:rsid w:val="003D4BB5"/>
    <w:rsid w:val="003E1CEC"/>
    <w:rsid w:val="003E5D3B"/>
    <w:rsid w:val="003F4EDA"/>
    <w:rsid w:val="003F57C0"/>
    <w:rsid w:val="00400ABA"/>
    <w:rsid w:val="004037EE"/>
    <w:rsid w:val="00447562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87E97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5365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52B"/>
    <w:rsid w:val="00811604"/>
    <w:rsid w:val="00812BC8"/>
    <w:rsid w:val="0081644D"/>
    <w:rsid w:val="00817741"/>
    <w:rsid w:val="00817BE6"/>
    <w:rsid w:val="00831351"/>
    <w:rsid w:val="00852328"/>
    <w:rsid w:val="00854A03"/>
    <w:rsid w:val="00857964"/>
    <w:rsid w:val="008612F5"/>
    <w:rsid w:val="00865FDB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1EF3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A59B6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599B"/>
    <w:rsid w:val="00C92FDE"/>
    <w:rsid w:val="00CA2AEC"/>
    <w:rsid w:val="00CA3E82"/>
    <w:rsid w:val="00CE2CD7"/>
    <w:rsid w:val="00CF518E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10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A30B-B2BE-43EF-8F51-F247BAF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27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2020-01-07T15:21:00Z</dcterms:modified>
</cp:coreProperties>
</file>