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2B1B0F">
        <w:rPr>
          <w:rFonts w:ascii="Times New Roman" w:hAnsi="Times New Roman"/>
          <w:i/>
          <w:szCs w:val="28"/>
        </w:rPr>
        <w:t>6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795EB1">
        <w:rPr>
          <w:rFonts w:ascii="Times New Roman" w:hAnsi="Times New Roman"/>
          <w:szCs w:val="28"/>
        </w:rPr>
        <w:t>20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Б.1.Д.Б.16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</w:t>
      </w:r>
      <w:r w:rsidR="00795EB1" w:rsidRPr="00795EB1">
        <w:rPr>
          <w:rFonts w:ascii="Times New Roman" w:hAnsi="Times New Roman"/>
          <w:szCs w:val="28"/>
        </w:rPr>
        <w:t>Н.В. Бутримова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795EB1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7B5D6A">
        <w:rPr>
          <w:rFonts w:ascii="Times New Roman" w:hAnsi="Times New Roman"/>
          <w:szCs w:val="28"/>
        </w:rPr>
        <w:t xml:space="preserve">9 </w:t>
      </w:r>
      <w:r w:rsidRPr="00EB31BF">
        <w:rPr>
          <w:rFonts w:ascii="Times New Roman" w:hAnsi="Times New Roman"/>
          <w:szCs w:val="28"/>
        </w:rPr>
        <w:t>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Б.1.Д.Б.16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740C01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740C01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740C0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100456" w:rsidRPr="00EB31BF" w:rsidRDefault="00740C01" w:rsidP="0010045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10045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740C01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40C0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40C0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 xml:space="preserve"> и 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740C0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740C0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…………………………………………………………..8</w:t>
      </w:r>
    </w:p>
    <w:p w:rsidR="00EA4867" w:rsidRPr="00EB31BF" w:rsidRDefault="00740C01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4" w:name="_Toc1061670"/>
      <w:bookmarkStart w:id="5" w:name="_Toc5536863"/>
      <w:bookmarkEnd w:id="1"/>
      <w:bookmarkEnd w:id="2"/>
      <w:r>
        <w:t>1</w:t>
      </w:r>
      <w:r w:rsidR="00C837F2" w:rsidRPr="00EB31BF">
        <w:t xml:space="preserve"> </w:t>
      </w:r>
      <w:bookmarkEnd w:id="4"/>
      <w:r w:rsidR="00EA4867" w:rsidRPr="00EB31BF">
        <w:t>Методические указания к аудиторным занятиям</w:t>
      </w:r>
      <w:bookmarkEnd w:id="5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100456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456" w:rsidRPr="005A4D3A" w:rsidRDefault="00100456" w:rsidP="00100456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10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10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100456" w:rsidRPr="005A4D3A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100456" w:rsidRPr="00EB31BF" w:rsidRDefault="00100456" w:rsidP="00100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100456" w:rsidRPr="00EB31BF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1" w:name="_Toc1061673"/>
      <w:bookmarkStart w:id="12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1"/>
      <w:r w:rsidR="00EA4867" w:rsidRPr="00EB31BF">
        <w:t>е</w:t>
      </w:r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 xml:space="preserve">расчетно-графического задания,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543791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543791">
        <w:rPr>
          <w:rFonts w:ascii="Times New Roman" w:hAnsi="Times New Roman"/>
          <w:sz w:val="28"/>
          <w:szCs w:val="28"/>
        </w:rPr>
        <w:t>лабораторным</w:t>
      </w:r>
      <w:r w:rsidR="00543791"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товку к рубежному</w:t>
      </w:r>
      <w:r w:rsidR="00543791">
        <w:rPr>
          <w:rFonts w:ascii="Times New Roman" w:hAnsi="Times New Roman"/>
          <w:sz w:val="28"/>
          <w:szCs w:val="28"/>
        </w:rPr>
        <w:t xml:space="preserve"> контролю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4"/>
      <w:bookmarkStart w:id="14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5"/>
      <w:bookmarkStart w:id="16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 xml:space="preserve">м </w:t>
      </w:r>
      <w:r w:rsidR="00100456">
        <w:rPr>
          <w:sz w:val="28"/>
          <w:szCs w:val="28"/>
        </w:rPr>
        <w:t>и лаб</w:t>
      </w:r>
      <w:r w:rsidR="00100456">
        <w:rPr>
          <w:sz w:val="28"/>
          <w:szCs w:val="28"/>
        </w:rPr>
        <w:t>о</w:t>
      </w:r>
      <w:r w:rsidR="00100456">
        <w:rPr>
          <w:sz w:val="28"/>
          <w:szCs w:val="28"/>
        </w:rPr>
        <w:t xml:space="preserve">раторным </w:t>
      </w:r>
      <w:r w:rsidR="00AC44D2" w:rsidRPr="00EB31BF">
        <w:rPr>
          <w:sz w:val="28"/>
          <w:szCs w:val="28"/>
        </w:rPr>
        <w:t>занятиям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="00100456"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E54897" w:rsidRDefault="00E54897" w:rsidP="00EB31BF">
      <w:pPr>
        <w:pStyle w:val="2"/>
        <w:spacing w:before="0" w:after="0"/>
        <w:rPr>
          <w:sz w:val="28"/>
          <w:szCs w:val="28"/>
        </w:rPr>
      </w:pPr>
      <w:bookmarkStart w:id="17" w:name="_Toc1061676"/>
      <w:bookmarkStart w:id="18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7"/>
      <w:bookmarkEnd w:id="18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9" w:name="_Toc1061677"/>
      <w:bookmarkStart w:id="20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9"/>
      <w:bookmarkEnd w:id="20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 xml:space="preserve">лабораторных и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 xml:space="preserve"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</w:t>
      </w:r>
      <w:r w:rsidRPr="00EB31BF">
        <w:rPr>
          <w:rFonts w:ascii="Times New Roman" w:hAnsi="Times New Roman"/>
          <w:sz w:val="28"/>
          <w:szCs w:val="28"/>
        </w:rPr>
        <w:lastRenderedPageBreak/>
        <w:t>неделях рубежного контроля перед прохождением тестирования желательно повторить весь пройденный на данный момент учебный материал, изложе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ный в лекциях и учебно-методической литературе. Это способствует акту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1" w:name="_Toc1061678"/>
      <w:bookmarkStart w:id="22" w:name="_Toc5536871"/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0A1FD7">
        <w:rPr>
          <w:sz w:val="28"/>
          <w:szCs w:val="28"/>
        </w:rPr>
        <w:t>5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Default="000A1FD7" w:rsidP="000A1FD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74B42" w:rsidRPr="00874B42" w:rsidRDefault="00874B42" w:rsidP="00874B42">
      <w:pPr>
        <w:pStyle w:val="2"/>
        <w:spacing w:before="0" w:after="0"/>
        <w:rPr>
          <w:b w:val="0"/>
          <w:sz w:val="28"/>
          <w:szCs w:val="28"/>
        </w:rPr>
      </w:pPr>
      <w:r w:rsidRPr="00874B42">
        <w:rPr>
          <w:b w:val="0"/>
          <w:sz w:val="28"/>
          <w:szCs w:val="28"/>
        </w:rPr>
        <w:t>Графические задания выполняются в виде</w:t>
      </w:r>
      <w:r>
        <w:rPr>
          <w:b w:val="0"/>
          <w:sz w:val="28"/>
          <w:szCs w:val="28"/>
        </w:rPr>
        <w:t xml:space="preserve"> </w:t>
      </w:r>
      <w:r w:rsidRPr="00874B42">
        <w:rPr>
          <w:b w:val="0"/>
          <w:sz w:val="28"/>
          <w:szCs w:val="28"/>
        </w:rPr>
        <w:t>расчетно-графических работ.</w:t>
      </w: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lastRenderedPageBreak/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1"/>
      <w:r w:rsidR="00EA4867" w:rsidRPr="00EB31BF">
        <w:t>Методические указания к промежуточной аттестации</w:t>
      </w:r>
      <w:bookmarkEnd w:id="22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544B91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>, расчетно-графические работы</w:t>
      </w:r>
      <w:r w:rsidR="00AF0584" w:rsidRPr="00EB31BF">
        <w:rPr>
          <w:rFonts w:ascii="Times New Roman" w:hAnsi="Times New Roman"/>
          <w:sz w:val="28"/>
          <w:szCs w:val="28"/>
        </w:rPr>
        <w:t xml:space="preserve">, сдали </w:t>
      </w:r>
      <w:r w:rsidR="00544B91">
        <w:rPr>
          <w:rFonts w:ascii="Times New Roman" w:hAnsi="Times New Roman"/>
          <w:sz w:val="28"/>
          <w:szCs w:val="28"/>
        </w:rPr>
        <w:t>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 xml:space="preserve">расчетно-графических работ </w:t>
      </w:r>
      <w:r w:rsidRPr="00EB31BF">
        <w:rPr>
          <w:rFonts w:ascii="Times New Roman" w:hAnsi="Times New Roman"/>
          <w:sz w:val="28"/>
          <w:szCs w:val="28"/>
        </w:rPr>
        <w:t xml:space="preserve">и оценок на рубежном контроле.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дифференцированного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расчетно-графических работ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 и правильно расставлять приоритеты между ее различными составля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01" w:rsidRDefault="00740C01" w:rsidP="00D06FB8">
      <w:pPr>
        <w:spacing w:after="0" w:line="240" w:lineRule="auto"/>
      </w:pPr>
      <w:r>
        <w:separator/>
      </w:r>
    </w:p>
  </w:endnote>
  <w:endnote w:type="continuationSeparator" w:id="0">
    <w:p w:rsidR="00740C01" w:rsidRDefault="00740C01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795EB1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01" w:rsidRDefault="00740C01" w:rsidP="00D06FB8">
      <w:pPr>
        <w:spacing w:after="0" w:line="240" w:lineRule="auto"/>
      </w:pPr>
      <w:r>
        <w:separator/>
      </w:r>
    </w:p>
  </w:footnote>
  <w:footnote w:type="continuationSeparator" w:id="0">
    <w:p w:rsidR="00740C01" w:rsidRDefault="00740C01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0456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56D4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304C4E"/>
    <w:rsid w:val="00321D4C"/>
    <w:rsid w:val="003255B5"/>
    <w:rsid w:val="00355319"/>
    <w:rsid w:val="003702B7"/>
    <w:rsid w:val="003A4652"/>
    <w:rsid w:val="003B7330"/>
    <w:rsid w:val="003D1D94"/>
    <w:rsid w:val="00403104"/>
    <w:rsid w:val="004526F6"/>
    <w:rsid w:val="00476EDB"/>
    <w:rsid w:val="00476F26"/>
    <w:rsid w:val="00490D67"/>
    <w:rsid w:val="004959AC"/>
    <w:rsid w:val="004B3390"/>
    <w:rsid w:val="004B73A5"/>
    <w:rsid w:val="004C70E1"/>
    <w:rsid w:val="004D10F6"/>
    <w:rsid w:val="004D36A6"/>
    <w:rsid w:val="00506DDE"/>
    <w:rsid w:val="00532959"/>
    <w:rsid w:val="00543791"/>
    <w:rsid w:val="00544B91"/>
    <w:rsid w:val="00570680"/>
    <w:rsid w:val="005A30E6"/>
    <w:rsid w:val="005A4D3A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0C01"/>
    <w:rsid w:val="00744EF3"/>
    <w:rsid w:val="007579E5"/>
    <w:rsid w:val="00762121"/>
    <w:rsid w:val="00767882"/>
    <w:rsid w:val="00776921"/>
    <w:rsid w:val="00795EB1"/>
    <w:rsid w:val="007973E4"/>
    <w:rsid w:val="007B5D6A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51791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17170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11</cp:revision>
  <cp:lastPrinted>2019-10-22T08:31:00Z</cp:lastPrinted>
  <dcterms:created xsi:type="dcterms:W3CDTF">2019-09-18T08:06:00Z</dcterms:created>
  <dcterms:modified xsi:type="dcterms:W3CDTF">2020-08-31T06:14:00Z</dcterms:modified>
</cp:coreProperties>
</file>