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Минобрнауки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профессионального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Кафедра уголовного права и уголовного процесса</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w:t>
      </w:r>
      <w:r w:rsidRPr="00102C46">
        <w:rPr>
          <w:rFonts w:ascii="Times New Roman" w:eastAsia="Arial Unicode MS" w:hAnsi="Times New Roman"/>
          <w:i/>
          <w:sz w:val="24"/>
          <w:szCs w:val="24"/>
          <w:lang w:eastAsia="ru-RU"/>
        </w:rPr>
        <w:t>Б.1.В.ДВ.4.1 Основы противодействия коррупции</w:t>
      </w:r>
      <w:r w:rsidRPr="00102C46">
        <w:rPr>
          <w:rFonts w:ascii="Times New Roman" w:eastAsia="Arial Unicode MS" w:hAnsi="Times New Roman"/>
          <w:i/>
          <w:sz w:val="24"/>
          <w:szCs w:val="24"/>
          <w:lang w:eastAsia="ru-RU"/>
        </w:rPr>
        <w:t>»</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hAnsi="Times New Roman"/>
          <w:sz w:val="24"/>
          <w:szCs w:val="24"/>
        </w:rPr>
      </w:pPr>
      <w:r w:rsidRPr="00102C46">
        <w:rPr>
          <w:rFonts w:ascii="Times New Roman" w:eastAsia="Times New Roman" w:hAnsi="Times New Roman"/>
          <w:sz w:val="24"/>
          <w:szCs w:val="24"/>
        </w:rPr>
        <w:t>Бузулук, 2015</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Основы противодействия коррупции</w:t>
      </w:r>
      <w:r w:rsidRPr="00102C46">
        <w:rPr>
          <w:rFonts w:ascii="Times New Roman" w:hAnsi="Times New Roman"/>
          <w:sz w:val="24"/>
          <w:szCs w:val="24"/>
        </w:rPr>
        <w:t xml:space="preserve">: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2015.</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bookmarkStart w:id="0" w:name="_GoBack"/>
            <w:bookmarkEnd w:id="0"/>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26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28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31</w:t>
            </w:r>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развивающе-творческой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личностно-деятельностного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Итоговой формой контроля знаний, умений и навыков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1  –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2  –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3  –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(Е, Ж, З, И,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(Л, М, Н, О,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(Р, С, Т, У,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3. Актуальные проблемы уголовного  законодательства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Система гражданско-правовых средств противодействия коррупции  в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интересов»  в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устанавливающие  ответственность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(Э, Ю, Я)</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«Система гражданско-правовых средств противодействия коррупции  в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коррупции  в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контроля  и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бименталлизмом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градулированием</w:t>
      </w:r>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Pr="00102C46" w:rsidRDefault="004A74AC"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0C3D40" w:rsidRPr="00102C46" w:rsidTr="000C3D40">
        <w:tc>
          <w:tcPr>
            <w:tcW w:w="57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1</w:t>
            </w:r>
          </w:p>
        </w:tc>
        <w:tc>
          <w:tcPr>
            <w:tcW w:w="549" w:type="pct"/>
            <w:shd w:val="clear" w:color="auto" w:fill="auto"/>
          </w:tcPr>
          <w:p w:rsidR="000C3D40" w:rsidRPr="00102C46" w:rsidRDefault="000C3D40" w:rsidP="000C3D40">
            <w:pPr>
              <w:pStyle w:val="ReportMain"/>
              <w:suppressAutoHyphens/>
              <w:jc w:val="center"/>
              <w:rPr>
                <w:szCs w:val="24"/>
              </w:rPr>
            </w:pPr>
            <w:r w:rsidRPr="00102C46">
              <w:rPr>
                <w:szCs w:val="24"/>
              </w:rPr>
              <w:t>1</w:t>
            </w:r>
          </w:p>
        </w:tc>
        <w:tc>
          <w:tcPr>
            <w:tcW w:w="3239" w:type="pct"/>
            <w:shd w:val="clear" w:color="auto" w:fill="auto"/>
          </w:tcPr>
          <w:p w:rsidR="000C3D40" w:rsidRPr="00102C46" w:rsidRDefault="000C3D40" w:rsidP="000C3D40">
            <w:pPr>
              <w:pStyle w:val="ReportMain"/>
              <w:suppressAutoHyphens/>
              <w:rPr>
                <w:szCs w:val="24"/>
              </w:rPr>
            </w:pPr>
            <w:r w:rsidRPr="00102C46">
              <w:rPr>
                <w:szCs w:val="24"/>
              </w:rPr>
              <w:t>Антикоррупционная экспертиза нормативных правовых актов</w:t>
            </w:r>
          </w:p>
        </w:tc>
        <w:tc>
          <w:tcPr>
            <w:tcW w:w="63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2</w:t>
            </w:r>
          </w:p>
        </w:tc>
      </w:tr>
      <w:tr w:rsidR="000C3D40" w:rsidRPr="00102C46" w:rsidTr="000C3D40">
        <w:tc>
          <w:tcPr>
            <w:tcW w:w="57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2</w:t>
            </w:r>
          </w:p>
        </w:tc>
        <w:tc>
          <w:tcPr>
            <w:tcW w:w="549" w:type="pct"/>
            <w:shd w:val="clear" w:color="auto" w:fill="auto"/>
          </w:tcPr>
          <w:p w:rsidR="000C3D40" w:rsidRPr="00102C46" w:rsidRDefault="000C3D40" w:rsidP="000C3D40">
            <w:pPr>
              <w:pStyle w:val="ReportMain"/>
              <w:suppressAutoHyphens/>
              <w:jc w:val="center"/>
              <w:rPr>
                <w:szCs w:val="24"/>
              </w:rPr>
            </w:pPr>
            <w:r w:rsidRPr="00102C46">
              <w:rPr>
                <w:szCs w:val="24"/>
              </w:rPr>
              <w:t>2</w:t>
            </w:r>
          </w:p>
        </w:tc>
        <w:tc>
          <w:tcPr>
            <w:tcW w:w="3239" w:type="pct"/>
            <w:shd w:val="clear" w:color="auto" w:fill="auto"/>
          </w:tcPr>
          <w:p w:rsidR="000C3D40" w:rsidRPr="00102C46" w:rsidRDefault="000C3D40" w:rsidP="000C3D40">
            <w:pPr>
              <w:pStyle w:val="ReportMain"/>
              <w:suppressAutoHyphens/>
              <w:rPr>
                <w:szCs w:val="24"/>
              </w:rPr>
            </w:pPr>
            <w:r w:rsidRPr="00102C46">
              <w:rPr>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4</w:t>
            </w:r>
          </w:p>
        </w:tc>
      </w:tr>
      <w:tr w:rsidR="000C3D40" w:rsidRPr="00102C46" w:rsidTr="000C3D40">
        <w:tc>
          <w:tcPr>
            <w:tcW w:w="57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3</w:t>
            </w:r>
          </w:p>
        </w:tc>
        <w:tc>
          <w:tcPr>
            <w:tcW w:w="549" w:type="pct"/>
            <w:shd w:val="clear" w:color="auto" w:fill="auto"/>
          </w:tcPr>
          <w:p w:rsidR="000C3D40" w:rsidRPr="00102C46" w:rsidRDefault="000C3D40" w:rsidP="000C3D40">
            <w:pPr>
              <w:pStyle w:val="ReportMain"/>
              <w:suppressAutoHyphens/>
              <w:jc w:val="center"/>
              <w:rPr>
                <w:szCs w:val="24"/>
              </w:rPr>
            </w:pPr>
            <w:r w:rsidRPr="00102C46">
              <w:rPr>
                <w:szCs w:val="24"/>
              </w:rPr>
              <w:t>3</w:t>
            </w:r>
          </w:p>
        </w:tc>
        <w:tc>
          <w:tcPr>
            <w:tcW w:w="3239" w:type="pct"/>
            <w:shd w:val="clear" w:color="auto" w:fill="auto"/>
          </w:tcPr>
          <w:p w:rsidR="000C3D40" w:rsidRPr="00102C46" w:rsidRDefault="000C3D40" w:rsidP="000C3D40">
            <w:pPr>
              <w:suppressAutoHyphens/>
              <w:spacing w:after="0" w:line="240" w:lineRule="auto"/>
              <w:rPr>
                <w:rFonts w:ascii="Times New Roman" w:hAnsi="Times New Roman"/>
                <w:sz w:val="24"/>
                <w:szCs w:val="24"/>
              </w:rPr>
            </w:pPr>
            <w:r w:rsidRPr="00102C46">
              <w:rPr>
                <w:rFonts w:ascii="Times New Roman" w:hAnsi="Times New Roman"/>
                <w:sz w:val="24"/>
                <w:szCs w:val="24"/>
              </w:rPr>
              <w:t>Преступления коррупционной направленности и уголовная ответственность за их совершение</w:t>
            </w:r>
          </w:p>
        </w:tc>
        <w:tc>
          <w:tcPr>
            <w:tcW w:w="63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2</w:t>
            </w:r>
          </w:p>
        </w:tc>
      </w:tr>
      <w:tr w:rsidR="000C3D40" w:rsidRPr="00102C46" w:rsidTr="000C3D40">
        <w:tc>
          <w:tcPr>
            <w:tcW w:w="57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4</w:t>
            </w:r>
          </w:p>
        </w:tc>
        <w:tc>
          <w:tcPr>
            <w:tcW w:w="549" w:type="pct"/>
            <w:shd w:val="clear" w:color="auto" w:fill="auto"/>
          </w:tcPr>
          <w:p w:rsidR="000C3D40" w:rsidRPr="00102C46" w:rsidRDefault="000C3D40" w:rsidP="000C3D40">
            <w:pPr>
              <w:pStyle w:val="ReportMain"/>
              <w:suppressAutoHyphens/>
              <w:jc w:val="center"/>
              <w:rPr>
                <w:szCs w:val="24"/>
              </w:rPr>
            </w:pPr>
            <w:r w:rsidRPr="00102C46">
              <w:rPr>
                <w:szCs w:val="24"/>
              </w:rPr>
              <w:t>4</w:t>
            </w:r>
          </w:p>
        </w:tc>
        <w:tc>
          <w:tcPr>
            <w:tcW w:w="3239" w:type="pct"/>
            <w:shd w:val="clear" w:color="auto" w:fill="auto"/>
          </w:tcPr>
          <w:p w:rsidR="000C3D40" w:rsidRPr="00102C46" w:rsidRDefault="000C3D40" w:rsidP="000C3D40">
            <w:pPr>
              <w:suppressAutoHyphens/>
              <w:spacing w:after="0" w:line="240" w:lineRule="auto"/>
              <w:rPr>
                <w:rFonts w:ascii="Times New Roman" w:hAnsi="Times New Roman"/>
                <w:sz w:val="24"/>
                <w:szCs w:val="24"/>
              </w:rPr>
            </w:pPr>
            <w:r w:rsidRPr="00102C46">
              <w:rPr>
                <w:rFonts w:ascii="Times New Roman" w:hAnsi="Times New Roman"/>
                <w:sz w:val="24"/>
                <w:szCs w:val="24"/>
              </w:rPr>
              <w:t>Ответственность членов органов управления  юридического лица за причинение убытков</w:t>
            </w:r>
          </w:p>
        </w:tc>
        <w:tc>
          <w:tcPr>
            <w:tcW w:w="63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2</w:t>
            </w:r>
          </w:p>
        </w:tc>
      </w:tr>
      <w:tr w:rsidR="000C3D40" w:rsidRPr="00102C46" w:rsidTr="000C3D40">
        <w:tc>
          <w:tcPr>
            <w:tcW w:w="57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5</w:t>
            </w:r>
          </w:p>
        </w:tc>
        <w:tc>
          <w:tcPr>
            <w:tcW w:w="549" w:type="pct"/>
            <w:shd w:val="clear" w:color="auto" w:fill="auto"/>
          </w:tcPr>
          <w:p w:rsidR="000C3D40" w:rsidRPr="00102C46" w:rsidRDefault="000C3D40" w:rsidP="000C3D40">
            <w:pPr>
              <w:pStyle w:val="ReportMain"/>
              <w:suppressAutoHyphens/>
              <w:jc w:val="center"/>
              <w:rPr>
                <w:szCs w:val="24"/>
              </w:rPr>
            </w:pPr>
            <w:r w:rsidRPr="00102C46">
              <w:rPr>
                <w:szCs w:val="24"/>
              </w:rPr>
              <w:t>4</w:t>
            </w:r>
          </w:p>
        </w:tc>
        <w:tc>
          <w:tcPr>
            <w:tcW w:w="3239" w:type="pct"/>
            <w:shd w:val="clear" w:color="auto" w:fill="auto"/>
          </w:tcPr>
          <w:p w:rsidR="000C3D40" w:rsidRPr="00102C46" w:rsidRDefault="000C3D40" w:rsidP="000C3D40">
            <w:pPr>
              <w:suppressAutoHyphens/>
              <w:spacing w:after="0" w:line="240" w:lineRule="auto"/>
              <w:rPr>
                <w:rFonts w:ascii="Times New Roman" w:hAnsi="Times New Roman"/>
                <w:sz w:val="24"/>
                <w:szCs w:val="24"/>
              </w:rPr>
            </w:pPr>
            <w:r w:rsidRPr="00102C46">
              <w:rPr>
                <w:rFonts w:ascii="Times New Roman" w:hAnsi="Times New Roman"/>
                <w:sz w:val="24"/>
                <w:szCs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0C3D40" w:rsidRPr="00102C46" w:rsidRDefault="000C3D40" w:rsidP="000C3D40">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0C3D40"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1</w:t>
            </w:r>
          </w:p>
        </w:tc>
      </w:tr>
    </w:tbl>
    <w:p w:rsidR="00FA0C33" w:rsidRPr="00102C46"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7D5553">
      <w:pPr>
        <w:spacing w:after="0" w:line="240" w:lineRule="auto"/>
        <w:ind w:firstLine="851"/>
        <w:jc w:val="both"/>
        <w:rPr>
          <w:rFonts w:ascii="Times New Roman" w:eastAsia="Times New Roman" w:hAnsi="Times New Roman"/>
          <w:bCs/>
          <w:sz w:val="24"/>
          <w:szCs w:val="24"/>
          <w:lang w:eastAsia="ru-RU"/>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3. Классификация коррупционных факторов, применяемую при проведении экспертизы нормативных правовых актов на коррупциогенность.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семинар,  </w:t>
      </w:r>
      <w:r w:rsidR="00E352A8" w:rsidRPr="00102C46">
        <w:rPr>
          <w:rFonts w:ascii="Times New Roman" w:eastAsiaTheme="minorHAnsi" w:hAnsi="Times New Roman"/>
          <w:i/>
          <w:sz w:val="24"/>
          <w:szCs w:val="24"/>
        </w:rPr>
        <w:t>решение</w:t>
      </w:r>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102C46">
        <w:rPr>
          <w:rFonts w:ascii="Times New Roman" w:eastAsiaTheme="minorHAnsi" w:hAnsi="Times New Roman"/>
          <w:sz w:val="24"/>
          <w:szCs w:val="24"/>
        </w:rPr>
        <w:lastRenderedPageBreak/>
        <w:t>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102C46">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w:t>
      </w:r>
      <w:r w:rsidR="00E352A8" w:rsidRPr="00102C46">
        <w:rPr>
          <w:rFonts w:ascii="Times New Roman" w:eastAsiaTheme="minorHAnsi" w:hAnsi="Times New Roman"/>
          <w:i/>
          <w:sz w:val="24"/>
          <w:szCs w:val="24"/>
        </w:rPr>
        <w:t>нар,  решение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Актуальные проблемы уголовного  законодательства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w:t>
      </w:r>
      <w:r w:rsidRPr="00102C46">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Ответственность членов органов управления  юридического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r w:rsidR="003658B9"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Является ли данное требование обоснованным?</w:t>
      </w:r>
    </w:p>
    <w:p w:rsidR="00F2478D" w:rsidRPr="00102C46" w:rsidRDefault="00F2478D" w:rsidP="004151A4">
      <w:pPr>
        <w:spacing w:after="0" w:line="240" w:lineRule="auto"/>
        <w:ind w:firstLine="567"/>
        <w:jc w:val="both"/>
        <w:rPr>
          <w:rFonts w:ascii="Times New Roman" w:eastAsia="Times New Roman" w:hAnsi="Times New Roman"/>
          <w:b/>
          <w:bCs/>
          <w:sz w:val="24"/>
          <w:szCs w:val="24"/>
          <w:lang w:eastAsia="ru-RU"/>
        </w:rPr>
      </w:pP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Зачет проводится в форме тестирования. О форме зачета студенты непосредственно уведомляются на первом лекционном занятия.</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Принципы  антикоррупционной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Субъекты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коррупциогенность.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Этапы проведения юридической экспертизы проектов нормативных правовых актов в целях выявления в них положений, способствующих созданию условий </w:t>
      </w:r>
      <w:r w:rsidRPr="00102C46">
        <w:rPr>
          <w:rFonts w:ascii="Times New Roman" w:hAnsi="Times New Roman"/>
          <w:sz w:val="24"/>
          <w:szCs w:val="24"/>
        </w:rPr>
        <w:lastRenderedPageBreak/>
        <w:t>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взыскания  за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уголовного  законодательства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Раздел 4 Гражданско-правовые средства  противодействия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интересов»  в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lastRenderedPageBreak/>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49"/>
        <w:gridCol w:w="1738"/>
        <w:gridCol w:w="2628"/>
        <w:gridCol w:w="2100"/>
      </w:tblGrid>
      <w:tr w:rsidR="003658B9" w:rsidRPr="00102C46" w:rsidTr="001C2AFD">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val="en-US"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«2»</w:t>
            </w:r>
          </w:p>
        </w:tc>
      </w:tr>
      <w:tr w:rsidR="003658B9" w:rsidRPr="00102C46" w:rsidTr="001C2AFD">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3658B9" w:rsidRPr="00102C46" w:rsidTr="001C2AFD">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продемонстрировано глубокое знание по теме практического занятия (семинара),</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формулирует полный правильный ответ</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недостаточно четко и полно отвечает на уточняющие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 неполные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продемонстрировалнеумение логически выстроить материал ответа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формулировать свою позицию по проблемным вопросам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сформулировать ответ по</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ответить на дополнительные и уточняющие вопросы.</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 практического занятия (семинара)</w:t>
            </w:r>
          </w:p>
        </w:tc>
      </w:tr>
      <w:tr w:rsidR="003658B9" w:rsidRPr="00102C46" w:rsidTr="001C2AFD">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Решение задач и выполнение задания обосновано правовыми </w:t>
            </w:r>
            <w:r w:rsidRPr="00102C46">
              <w:rPr>
                <w:rFonts w:ascii="Times New Roman" w:eastAsia="Times New Roman" w:hAnsi="Times New Roman"/>
                <w:sz w:val="24"/>
                <w:szCs w:val="24"/>
              </w:rPr>
              <w:lastRenderedPageBreak/>
              <w:t xml:space="preserve">нормами. Студент использовал значительный объем учебной и научной литературы, текст 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w:t>
            </w:r>
            <w:r w:rsidRPr="00102C46">
              <w:rPr>
                <w:rFonts w:ascii="Times New Roman" w:eastAsia="Times New Roman" w:hAnsi="Times New Roman"/>
                <w:sz w:val="24"/>
                <w:szCs w:val="24"/>
              </w:rPr>
              <w:lastRenderedPageBreak/>
              <w:t xml:space="preserve">нормами. Студент использовал учебную литературу и сокращенный вариант текста первоисточника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нормами. Однако допущены ошибки в </w:t>
            </w:r>
            <w:r w:rsidRPr="00102C46">
              <w:rPr>
                <w:rFonts w:ascii="Times New Roman" w:eastAsia="Times New Roman" w:hAnsi="Times New Roman"/>
                <w:sz w:val="24"/>
                <w:szCs w:val="24"/>
              </w:rPr>
              <w:lastRenderedPageBreak/>
              <w:t xml:space="preserve">решении задач. Студент использовал учебную литературу и сокращенный вариант текста первоисточника. </w:t>
            </w:r>
          </w:p>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Испытывает затруднения с 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выполнено неверно. Студент </w:t>
            </w:r>
            <w:r w:rsidRPr="00102C46">
              <w:rPr>
                <w:rFonts w:ascii="Times New Roman" w:eastAsia="Times New Roman" w:hAnsi="Times New Roman"/>
                <w:sz w:val="24"/>
                <w:szCs w:val="24"/>
              </w:rPr>
              <w:lastRenderedPageBreak/>
              <w:t xml:space="preserve">использовал только учебную литературу без опоры на первоисточники. </w:t>
            </w:r>
          </w:p>
        </w:tc>
      </w:tr>
      <w:tr w:rsidR="003658B9" w:rsidRPr="00102C46" w:rsidTr="001C2AFD">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3658B9" w:rsidRPr="00102C46" w:rsidTr="001C2AFD">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w:t>
            </w:r>
            <w:r w:rsidRPr="00102C46">
              <w:rPr>
                <w:rFonts w:ascii="Times New Roman" w:eastAsia="Times New Roman" w:hAnsi="Times New Roman"/>
                <w:sz w:val="24"/>
                <w:szCs w:val="24"/>
              </w:rPr>
              <w:lastRenderedPageBreak/>
              <w:t>высказывает рекомендации по рассматриваемой проблеме, аргументированно возражает оппонентам.</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w:t>
            </w:r>
            <w:r w:rsidRPr="00102C46">
              <w:rPr>
                <w:rFonts w:ascii="Times New Roman" w:eastAsia="Times New Roman" w:hAnsi="Times New Roman"/>
                <w:sz w:val="24"/>
                <w:szCs w:val="24"/>
              </w:rPr>
              <w:lastRenderedPageBreak/>
              <w:t>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3658B9" w:rsidRPr="00102C46" w:rsidRDefault="003658B9" w:rsidP="003658B9">
            <w:pPr>
              <w:spacing w:after="0" w:line="240" w:lineRule="auto"/>
              <w:jc w:val="both"/>
              <w:rPr>
                <w:rFonts w:ascii="Times New Roman" w:eastAsia="Times New Roman" w:hAnsi="Times New Roman"/>
                <w:sz w:val="24"/>
                <w:szCs w:val="24"/>
              </w:rPr>
            </w:pPr>
          </w:p>
          <w:p w:rsidR="003658B9" w:rsidRPr="00102C46" w:rsidRDefault="003658B9" w:rsidP="003658B9">
            <w:pPr>
              <w:spacing w:after="0" w:line="240" w:lineRule="auto"/>
              <w:jc w:val="both"/>
              <w:rPr>
                <w:rFonts w:ascii="Times New Roman" w:eastAsia="Times New Roman" w:hAnsi="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Обучающийся демонстрирует полную неосведомленность по сути изучаемой проблемы.</w:t>
            </w:r>
          </w:p>
        </w:tc>
      </w:tr>
    </w:tbl>
    <w:p w:rsidR="00F2478D" w:rsidRPr="00102C46" w:rsidRDefault="00F2478D"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102C46"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 для оценки «не зачтено»</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Обучающимся продемонстрированы:</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1) глубокие теоретические знания по предмету;</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2) умение излагать материал в логической последовательности, систематично, грамотным языком;</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3) владение специализированной терминологией;</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Обучающийся проявил самостоятельность анализа и суждений, решил поставленные задачи теоретического исследования, проанализировал </w:t>
            </w:r>
            <w:r w:rsidRPr="00102C46">
              <w:rPr>
                <w:rFonts w:ascii="Times New Roman" w:eastAsia="Times New Roman" w:hAnsi="Times New Roman"/>
                <w:spacing w:val="-1"/>
                <w:sz w:val="24"/>
                <w:szCs w:val="24"/>
                <w:lang w:eastAsia="ru-RU"/>
              </w:rPr>
              <w:lastRenderedPageBreak/>
              <w:t>правоприменительную практику, данные официальной статистики.</w:t>
            </w:r>
            <w:r w:rsidRPr="00102C46">
              <w:rPr>
                <w:sz w:val="24"/>
                <w:szCs w:val="24"/>
              </w:rPr>
              <w:t xml:space="preserve"> </w:t>
            </w:r>
            <w:r w:rsidRPr="00102C46">
              <w:rPr>
                <w:rFonts w:ascii="Times New Roman" w:eastAsia="Times New Roman" w:hAnsi="Times New Roman"/>
                <w:spacing w:val="-1"/>
                <w:sz w:val="24"/>
                <w:szCs w:val="24"/>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lastRenderedPageBreak/>
              <w:t>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102C46" w:rsidRDefault="004151A4" w:rsidP="004151A4">
      <w:pPr>
        <w:pStyle w:val="3"/>
        <w:widowControl w:val="0"/>
        <w:tabs>
          <w:tab w:val="left" w:pos="0"/>
        </w:tabs>
        <w:snapToGrid w:val="0"/>
        <w:spacing w:after="0"/>
        <w:ind w:left="567"/>
        <w:jc w:val="both"/>
        <w:rPr>
          <w:sz w:val="24"/>
          <w:szCs w:val="24"/>
        </w:rPr>
      </w:pPr>
    </w:p>
    <w:p w:rsidR="00F750B3" w:rsidRPr="00102C46" w:rsidRDefault="00F750B3" w:rsidP="00116414">
      <w:pPr>
        <w:spacing w:after="0" w:line="240" w:lineRule="auto"/>
        <w:jc w:val="center"/>
        <w:rPr>
          <w:rFonts w:ascii="Times New Roman" w:eastAsia="Times New Roman" w:hAnsi="Times New Roman"/>
          <w:b/>
          <w:bCs/>
          <w:sz w:val="24"/>
          <w:szCs w:val="24"/>
          <w:lang w:eastAsia="ru-RU"/>
        </w:rPr>
      </w:pPr>
    </w:p>
    <w:p w:rsidR="006E5944" w:rsidRPr="00102C46" w:rsidRDefault="006D7BB0" w:rsidP="00116414">
      <w:pPr>
        <w:spacing w:after="0" w:line="240" w:lineRule="auto"/>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Список рекомендуемых источников</w:t>
      </w:r>
    </w:p>
    <w:p w:rsidR="000C3D40" w:rsidRPr="00102C46" w:rsidRDefault="000C3D40" w:rsidP="000C3D40">
      <w:pPr>
        <w:suppressAutoHyphens/>
        <w:spacing w:after="0" w:line="240" w:lineRule="auto"/>
        <w:ind w:firstLine="709"/>
        <w:jc w:val="both"/>
        <w:rPr>
          <w:rFonts w:ascii="Times New Roman" w:hAnsi="Times New Roman"/>
          <w:b/>
          <w:sz w:val="24"/>
          <w:szCs w:val="24"/>
        </w:rPr>
      </w:pPr>
    </w:p>
    <w:p w:rsidR="000C3D40" w:rsidRPr="00102C46" w:rsidRDefault="000C3D40" w:rsidP="000C3D40">
      <w:pPr>
        <w:suppressAutoHyphens/>
        <w:spacing w:after="0" w:line="240" w:lineRule="auto"/>
        <w:ind w:firstLine="709"/>
        <w:jc w:val="both"/>
        <w:rPr>
          <w:rFonts w:ascii="Times New Roman" w:hAnsi="Times New Roman"/>
          <w:b/>
          <w:sz w:val="24"/>
          <w:szCs w:val="24"/>
        </w:rPr>
      </w:pPr>
      <w:r w:rsidRPr="00102C46">
        <w:rPr>
          <w:rFonts w:ascii="Times New Roman" w:hAnsi="Times New Roman"/>
          <w:b/>
          <w:sz w:val="24"/>
          <w:szCs w:val="24"/>
        </w:rPr>
        <w:t>Нормативные правовые акты</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Конвенция об уголовной ответственности за коррупцию : заключена в г. Страсбурге 27 января 1999 г.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Конвенция ООН против коррупции : принята в г. Нью-Йорке 31 октября 2003 г. Резолюцией 58/4 на 51-ом пленарном заседании 58-ой сессии Генеральной Ассамблеи ООН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Гражданский кодекс Российской Федерации (часть первая) : федер. закон от 30 ноября 1994 г. № 51-ФЗ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Уголовный кодекс Российской Федерации : федер. закон от 13 июня 1996 г. № 63-ФЗ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Кодекс Российской Федерации об административных правонарушениях: федер. закон от 30 декабря 2001 г. № 195-ФЗ // http://www.consultant.ru. </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государственной гражданской службе Российской Федерации : федер. закон от 27 июля 2004 г. № 79-ФЗ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муниципальной службе в Российской Федерации : федер. закон от 02 марта 2007 г. №25-ФЗ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противодействии коррупции : федер. закон от 25 декабря 2008 г. № 273-ФЗ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Об антикоррупционной экспертизе нормативных правовых актов и проектов нормативных правовых актов : федер. закон от 17 июля 2009 г. № 172-ФЗ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 федер. закон от 09 февраля 2009 г. № 8-ФЗ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контроле за соответствием расходов лиц, замещающих государственные должности, и иных лиц их доходам : федер. закон от 03 декабря 2012 г. № 230-ФЗ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Об утверждении общих принципов служебного поведения государственных служащих : указ Президента РФ от 12 августа 2002 г. № 885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w:t>
      </w:r>
      <w:r w:rsidRPr="00102C46">
        <w:rPr>
          <w:rFonts w:ascii="Times New Roman" w:hAnsi="Times New Roman"/>
          <w:sz w:val="24"/>
          <w:szCs w:val="24"/>
        </w:rPr>
        <w:lastRenderedPageBreak/>
        <w:t>касающихся взаимной правовой помощи : указ Президента РФ от 18 декабря 2008 г. № 1799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21 июля 2010 г. № 925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мониторинге правоприменения в Российской Федерации : указ Президента РФ от 20.05.2011 № 657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02 апреля 2013 г. № 309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Вопросы противодействия коррупции: указ Президента РФ от 08 июля 2013 г. № 613 // http://www.consultant.ru.</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8"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tabs>
          <w:tab w:val="left" w:pos="1903"/>
        </w:tabs>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9"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10"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w:t>
      </w:r>
      <w:r w:rsidRPr="00102C46">
        <w:rPr>
          <w:rFonts w:ascii="Times New Roman" w:hAnsi="Times New Roman"/>
          <w:sz w:val="24"/>
          <w:szCs w:val="24"/>
        </w:rPr>
        <w:lastRenderedPageBreak/>
        <w:t xml:space="preserve">требований к служебному поведению : постановление Правительства РФ от 22 июля 2013 № 613 // </w:t>
      </w:r>
      <w:hyperlink r:id="rId11"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2"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13"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14"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15"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Об организации прокурорского надзора за исполнением законодательства о противодействии коррупции : приказ Генеральной прокуратуры РФ от 29 августа 2014 г. № 454  // </w:t>
      </w:r>
      <w:hyperlink r:id="rId16" w:history="1">
        <w:r w:rsidRPr="00102C46">
          <w:rPr>
            <w:rFonts w:ascii="Times New Roman" w:hAnsi="Times New Roman"/>
            <w:color w:val="0000FF"/>
            <w:sz w:val="24"/>
            <w:szCs w:val="24"/>
            <w:u w:val="single"/>
          </w:rPr>
          <w:t>http://www.consultant.ru</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Антикоррупционная политика ОГУ : утверждена решением ученого совета ОГУ 26 сентября 2014 г., протокол № 38 // </w:t>
      </w:r>
      <w:hyperlink r:id="rId17" w:history="1">
        <w:r w:rsidRPr="00102C46">
          <w:rPr>
            <w:rFonts w:ascii="Times New Roman" w:hAnsi="Times New Roman"/>
            <w:sz w:val="24"/>
            <w:szCs w:val="24"/>
          </w:rPr>
          <w:t>http://www.osu.ru/doc/3591</w:t>
        </w:r>
      </w:hyperlink>
      <w:r w:rsidRPr="00102C46">
        <w:rPr>
          <w:rFonts w:ascii="Times New Roman" w:hAnsi="Times New Roman"/>
          <w:sz w:val="24"/>
          <w:szCs w:val="24"/>
        </w:rPr>
        <w:t>.</w:t>
      </w:r>
    </w:p>
    <w:p w:rsidR="000C3D40" w:rsidRPr="00102C46" w:rsidRDefault="000C3D40" w:rsidP="000C3D40">
      <w:pPr>
        <w:suppressAutoHyphens/>
        <w:spacing w:after="0" w:line="240" w:lineRule="auto"/>
        <w:ind w:firstLine="709"/>
        <w:jc w:val="both"/>
        <w:rPr>
          <w:rFonts w:ascii="Times New Roman" w:hAnsi="Times New Roman"/>
          <w:sz w:val="24"/>
          <w:szCs w:val="24"/>
        </w:rPr>
      </w:pPr>
    </w:p>
    <w:p w:rsidR="000C3D40" w:rsidRPr="00102C46" w:rsidRDefault="000C3D40" w:rsidP="000C3D40">
      <w:pPr>
        <w:suppressAutoHyphens/>
        <w:spacing w:after="0" w:line="240" w:lineRule="auto"/>
        <w:ind w:firstLine="709"/>
        <w:jc w:val="both"/>
        <w:rPr>
          <w:rFonts w:ascii="Times New Roman" w:hAnsi="Times New Roman"/>
          <w:b/>
          <w:sz w:val="24"/>
          <w:szCs w:val="24"/>
        </w:rPr>
      </w:pPr>
      <w:r w:rsidRPr="00102C46">
        <w:rPr>
          <w:rFonts w:ascii="Times New Roman" w:hAnsi="Times New Roman"/>
          <w:b/>
          <w:sz w:val="24"/>
          <w:szCs w:val="24"/>
        </w:rPr>
        <w:t>Основная литература</w:t>
      </w:r>
    </w:p>
    <w:p w:rsidR="000C3D40" w:rsidRPr="00102C46" w:rsidRDefault="000C3D40" w:rsidP="000C3D40">
      <w:pPr>
        <w:suppressAutoHyphens/>
        <w:spacing w:after="0" w:line="240" w:lineRule="auto"/>
        <w:ind w:firstLine="709"/>
        <w:jc w:val="both"/>
        <w:rPr>
          <w:rFonts w:ascii="Times New Roman" w:hAnsi="Times New Roman"/>
          <w:sz w:val="24"/>
          <w:szCs w:val="24"/>
        </w:rPr>
      </w:pPr>
      <w:r w:rsidRPr="00102C46">
        <w:rPr>
          <w:rFonts w:ascii="Times New Roman" w:hAnsi="Times New Roman"/>
          <w:sz w:val="24"/>
          <w:szCs w:val="24"/>
        </w:rPr>
        <w:t>-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http://znanium.com/catalog/product/460721.</w:t>
      </w:r>
    </w:p>
    <w:p w:rsidR="000C3D40" w:rsidRPr="00102C46" w:rsidRDefault="000C3D40" w:rsidP="000C3D40">
      <w:pPr>
        <w:keepNext/>
        <w:suppressAutoHyphens/>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0C3D40" w:rsidRPr="00102C46" w:rsidRDefault="000C3D40" w:rsidP="000C3D40">
      <w:pPr>
        <w:keepNext/>
        <w:suppressAutoHyphens/>
        <w:spacing w:after="0" w:line="240" w:lineRule="auto"/>
        <w:ind w:firstLine="709"/>
        <w:jc w:val="both"/>
        <w:outlineLvl w:val="1"/>
        <w:rPr>
          <w:rFonts w:ascii="Times New Roman" w:hAnsi="Times New Roman"/>
          <w:b/>
          <w:color w:val="FF0000"/>
          <w:sz w:val="24"/>
          <w:szCs w:val="24"/>
        </w:rPr>
      </w:pPr>
    </w:p>
    <w:p w:rsidR="000C3D40" w:rsidRPr="00102C46" w:rsidRDefault="000C3D40" w:rsidP="000C3D40">
      <w:pPr>
        <w:keepNext/>
        <w:suppressAutoHyphens/>
        <w:spacing w:after="0" w:line="240" w:lineRule="auto"/>
        <w:ind w:firstLine="709"/>
        <w:jc w:val="both"/>
        <w:outlineLvl w:val="1"/>
        <w:rPr>
          <w:rFonts w:ascii="Times New Roman" w:hAnsi="Times New Roman"/>
          <w:b/>
          <w:sz w:val="24"/>
          <w:szCs w:val="24"/>
        </w:rPr>
      </w:pPr>
      <w:r w:rsidRPr="00102C46">
        <w:rPr>
          <w:rFonts w:ascii="Times New Roman" w:hAnsi="Times New Roman"/>
          <w:b/>
          <w:sz w:val="24"/>
          <w:szCs w:val="24"/>
        </w:rPr>
        <w:t>Дополнительная литература</w:t>
      </w:r>
    </w:p>
    <w:p w:rsidR="000C3D40" w:rsidRPr="00102C46" w:rsidRDefault="000C3D40" w:rsidP="000C3D40">
      <w:pPr>
        <w:keepNext/>
        <w:suppressAutoHyphens/>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w:t>
      </w:r>
      <w:hyperlink r:id="rId18" w:history="1">
        <w:r w:rsidRPr="00102C46">
          <w:rPr>
            <w:rFonts w:ascii="Times New Roman" w:hAnsi="Times New Roman"/>
            <w:color w:val="0000FF"/>
            <w:sz w:val="24"/>
            <w:szCs w:val="24"/>
            <w:u w:val="single"/>
          </w:rPr>
          <w:t>http://biblioclub.ru/index.php?page=book&amp;id=257795</w:t>
        </w:r>
      </w:hyperlink>
      <w:r w:rsidRPr="00102C46">
        <w:rPr>
          <w:rFonts w:ascii="Times New Roman" w:hAnsi="Times New Roman"/>
          <w:sz w:val="24"/>
          <w:szCs w:val="24"/>
        </w:rPr>
        <w:t xml:space="preserve"> </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Агешкина Н. А., Бельянская А. Б., Смушкин А. Б. Комментарий к Федеральному </w:t>
      </w:r>
      <w:r w:rsidRPr="00102C46">
        <w:rPr>
          <w:rFonts w:ascii="Times New Roman" w:hAnsi="Times New Roman"/>
          <w:sz w:val="24"/>
          <w:szCs w:val="24"/>
        </w:rPr>
        <w:lastRenderedPageBreak/>
        <w:t xml:space="preserve">закону от 25.12.2008 № 273-ФЗ «О противодействии коррупции» (постатейный). – Режим доступа: </w:t>
      </w:r>
      <w:hyperlink r:id="rId19" w:history="1">
        <w:r w:rsidRPr="00102C46">
          <w:rPr>
            <w:rFonts w:ascii="Times New Roman" w:hAnsi="Times New Roman"/>
            <w:sz w:val="24"/>
            <w:szCs w:val="24"/>
          </w:rPr>
          <w:t>http://www.consultant.ru</w:t>
        </w:r>
      </w:hyperlink>
      <w:r w:rsidRPr="00102C46">
        <w:rPr>
          <w:rFonts w:ascii="Times New Roman" w:hAnsi="Times New Roman"/>
          <w:sz w:val="24"/>
          <w:szCs w:val="24"/>
        </w:rPr>
        <w:t>.</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w:t>
      </w:r>
      <w:hyperlink r:id="rId20" w:history="1">
        <w:r w:rsidRPr="00102C46">
          <w:rPr>
            <w:rFonts w:ascii="Times New Roman" w:hAnsi="Times New Roman"/>
            <w:sz w:val="24"/>
            <w:szCs w:val="24"/>
          </w:rPr>
          <w:t>http://www.consultant.ru</w:t>
        </w:r>
      </w:hyperlink>
      <w:r w:rsidRPr="00102C46">
        <w:rPr>
          <w:rFonts w:ascii="Times New Roman" w:hAnsi="Times New Roman"/>
          <w:sz w:val="24"/>
          <w:szCs w:val="24"/>
        </w:rPr>
        <w:t>.</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Григорьев, В. В. Комментарий к Федеральному закону от 25 декабря 2008 г. № 273-ФЗ «О противодействии коррупции» (постатейный). – Режим доступа: </w:t>
      </w:r>
      <w:hyperlink r:id="rId21" w:history="1">
        <w:r w:rsidRPr="00102C46">
          <w:rPr>
            <w:rFonts w:ascii="Times New Roman" w:hAnsi="Times New Roman"/>
            <w:sz w:val="24"/>
            <w:szCs w:val="24"/>
          </w:rPr>
          <w:t>http://www.consultant.ru</w:t>
        </w:r>
      </w:hyperlink>
      <w:r w:rsidRPr="00102C46">
        <w:rPr>
          <w:rFonts w:ascii="Times New Roman" w:hAnsi="Times New Roman"/>
          <w:sz w:val="24"/>
          <w:szCs w:val="24"/>
        </w:rPr>
        <w:t>.</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Иванов, Э. А. Антикоррупционный комплаенс-контроль в странах БРИКС [Электронный ресурс] : монография. - Москва: Юриспруденция, 2015. - 136 с. – Режим доступа: </w:t>
      </w:r>
      <w:hyperlink r:id="rId22" w:history="1">
        <w:r w:rsidRPr="00102C46">
          <w:rPr>
            <w:rFonts w:ascii="Times New Roman" w:hAnsi="Times New Roman"/>
            <w:sz w:val="24"/>
            <w:szCs w:val="24"/>
          </w:rPr>
          <w:t>http://www.consultant.ru</w:t>
        </w:r>
      </w:hyperlink>
      <w:r w:rsidRPr="00102C46">
        <w:rPr>
          <w:rFonts w:ascii="Times New Roman" w:hAnsi="Times New Roman"/>
          <w:sz w:val="24"/>
          <w:szCs w:val="24"/>
        </w:rPr>
        <w:t>.</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w:t>
      </w:r>
      <w:hyperlink r:id="rId23" w:history="1">
        <w:r w:rsidRPr="00102C46">
          <w:rPr>
            <w:rFonts w:ascii="Times New Roman" w:hAnsi="Times New Roman"/>
            <w:color w:val="0000FF"/>
            <w:sz w:val="24"/>
            <w:szCs w:val="24"/>
            <w:u w:val="single"/>
          </w:rPr>
          <w:t>http://biblioclub.ru/index.php?page=book&amp;id=114576</w:t>
        </w:r>
      </w:hyperlink>
      <w:r w:rsidRPr="00102C46">
        <w:rPr>
          <w:rFonts w:ascii="Times New Roman" w:hAnsi="Times New Roman"/>
          <w:sz w:val="24"/>
          <w:szCs w:val="24"/>
        </w:rPr>
        <w:t xml:space="preserve">. </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w:t>
      </w:r>
      <w:hyperlink r:id="rId24" w:history="1">
        <w:r w:rsidRPr="00102C46">
          <w:rPr>
            <w:rFonts w:ascii="Times New Roman" w:hAnsi="Times New Roman"/>
            <w:color w:val="0000FF"/>
            <w:sz w:val="24"/>
            <w:szCs w:val="24"/>
            <w:u w:val="single"/>
          </w:rPr>
          <w:t>http://biblioclub.ru/index.php?page=book&amp;id=119457</w:t>
        </w:r>
      </w:hyperlink>
      <w:r w:rsidRPr="00102C46">
        <w:rPr>
          <w:rFonts w:ascii="Times New Roman" w:hAnsi="Times New Roman"/>
          <w:sz w:val="24"/>
          <w:szCs w:val="24"/>
        </w:rPr>
        <w:t xml:space="preserve">. </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xml:space="preserve">-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w:t>
      </w:r>
      <w:hyperlink r:id="rId25" w:history="1">
        <w:r w:rsidRPr="00102C46">
          <w:rPr>
            <w:rFonts w:ascii="Times New Roman" w:hAnsi="Times New Roman"/>
            <w:color w:val="0000FF"/>
            <w:sz w:val="24"/>
            <w:szCs w:val="24"/>
            <w:u w:val="single"/>
          </w:rPr>
          <w:t>http://biblioclub.ru/index.php?page=book&amp;id=257873</w:t>
        </w:r>
      </w:hyperlink>
      <w:r w:rsidRPr="00102C46">
        <w:rPr>
          <w:rFonts w:ascii="Times New Roman" w:hAnsi="Times New Roman"/>
          <w:sz w:val="24"/>
          <w:szCs w:val="24"/>
        </w:rPr>
        <w:t xml:space="preserve">. </w:t>
      </w:r>
    </w:p>
    <w:p w:rsidR="000C3D40" w:rsidRPr="00102C46" w:rsidRDefault="000C3D40" w:rsidP="000C3D40">
      <w:pPr>
        <w:widowControl w:val="0"/>
        <w:spacing w:after="0" w:line="240" w:lineRule="auto"/>
        <w:ind w:firstLine="709"/>
        <w:jc w:val="both"/>
        <w:outlineLvl w:val="1"/>
        <w:rPr>
          <w:rFonts w:ascii="Times New Roman" w:hAnsi="Times New Roman"/>
          <w:sz w:val="24"/>
          <w:szCs w:val="24"/>
        </w:rPr>
      </w:pPr>
      <w:r w:rsidRPr="00102C46">
        <w:rPr>
          <w:rFonts w:ascii="Times New Roman" w:hAnsi="Times New Roman"/>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0C3D40" w:rsidRPr="00102C46" w:rsidRDefault="000C3D40" w:rsidP="000C3D40">
      <w:pPr>
        <w:widowControl w:val="0"/>
        <w:spacing w:after="0" w:line="240" w:lineRule="auto"/>
        <w:ind w:firstLine="709"/>
        <w:jc w:val="both"/>
        <w:outlineLvl w:val="1"/>
        <w:rPr>
          <w:rFonts w:ascii="Times New Roman" w:eastAsia="Times New Roman" w:hAnsi="Times New Roman"/>
          <w:b/>
          <w:color w:val="FF0000"/>
          <w:sz w:val="24"/>
          <w:szCs w:val="24"/>
          <w:lang w:eastAsia="ru-RU"/>
        </w:rPr>
      </w:pPr>
    </w:p>
    <w:p w:rsidR="000C3D40" w:rsidRPr="00102C46" w:rsidRDefault="000C3D40" w:rsidP="000C3D40">
      <w:pPr>
        <w:widowControl w:val="0"/>
        <w:spacing w:after="0" w:line="240" w:lineRule="auto"/>
        <w:ind w:firstLine="709"/>
        <w:jc w:val="both"/>
        <w:outlineLvl w:val="1"/>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Периодические издания</w:t>
      </w:r>
    </w:p>
    <w:p w:rsidR="000C3D40" w:rsidRPr="00102C46" w:rsidRDefault="000C3D40" w:rsidP="000C3D40">
      <w:pPr>
        <w:widowControl w:val="0"/>
        <w:spacing w:after="0" w:line="240" w:lineRule="auto"/>
        <w:ind w:firstLine="709"/>
        <w:jc w:val="both"/>
        <w:outlineLvl w:val="1"/>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 </w:t>
      </w:r>
      <w:r w:rsidRPr="00102C46">
        <w:rPr>
          <w:rFonts w:ascii="Times New Roman" w:eastAsia="Times New Roman" w:hAnsi="Times New Roman"/>
          <w:sz w:val="24"/>
          <w:szCs w:val="24"/>
          <w:lang w:eastAsia="ru-RU"/>
        </w:rPr>
        <w:t>Административное право и процесс: журнал. - ООО Издательская группа Юрист, 2015.</w:t>
      </w:r>
    </w:p>
    <w:p w:rsidR="000C3D40" w:rsidRPr="00102C46" w:rsidRDefault="000C3D40" w:rsidP="000C3D40">
      <w:pPr>
        <w:widowControl w:val="0"/>
        <w:spacing w:after="0" w:line="240" w:lineRule="auto"/>
        <w:ind w:firstLine="709"/>
        <w:jc w:val="both"/>
        <w:outlineLvl w:val="1"/>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Государственная власть и местное самоуправление : журнал. - Москва : Юрист, 2015.</w:t>
      </w:r>
    </w:p>
    <w:p w:rsidR="000C3D40" w:rsidRPr="00102C46" w:rsidRDefault="000C3D40" w:rsidP="000C3D40">
      <w:pPr>
        <w:widowControl w:val="0"/>
        <w:spacing w:after="0" w:line="240" w:lineRule="auto"/>
        <w:ind w:firstLine="709"/>
        <w:jc w:val="both"/>
        <w:outlineLvl w:val="1"/>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Государство и право: журнал. - Москва : Наука, 2015.</w:t>
      </w:r>
    </w:p>
    <w:p w:rsidR="000C3D40" w:rsidRPr="00102C46" w:rsidRDefault="000C3D40" w:rsidP="000C3D40">
      <w:pPr>
        <w:widowControl w:val="0"/>
        <w:spacing w:after="0" w:line="240" w:lineRule="auto"/>
        <w:ind w:firstLine="709"/>
        <w:jc w:val="both"/>
        <w:outlineLvl w:val="1"/>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Гражданское право  : журнал. - Москва : ООО Издательская группа Юрист, 2015.</w:t>
      </w:r>
    </w:p>
    <w:p w:rsidR="000C3D40" w:rsidRPr="00102C46" w:rsidRDefault="000C3D40" w:rsidP="000C3D40">
      <w:pPr>
        <w:widowControl w:val="0"/>
        <w:spacing w:after="0" w:line="240" w:lineRule="auto"/>
        <w:ind w:firstLine="709"/>
        <w:jc w:val="both"/>
        <w:outlineLvl w:val="1"/>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Журнал российского права : журнал. - Москва : Норма, 2015.</w:t>
      </w:r>
    </w:p>
    <w:p w:rsidR="000C3D40" w:rsidRPr="00102C46" w:rsidRDefault="000C3D40" w:rsidP="000C3D40">
      <w:pPr>
        <w:widowControl w:val="0"/>
        <w:spacing w:after="0" w:line="240" w:lineRule="auto"/>
        <w:ind w:firstLine="709"/>
        <w:jc w:val="both"/>
        <w:outlineLvl w:val="1"/>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Уголовное право: журнал. - Москва : АНО Юридические программы, 2015.</w:t>
      </w:r>
    </w:p>
    <w:p w:rsidR="000C3D40" w:rsidRPr="00102C46" w:rsidRDefault="000C3D40" w:rsidP="000C3D40">
      <w:pPr>
        <w:widowControl w:val="0"/>
        <w:spacing w:after="0" w:line="240" w:lineRule="auto"/>
        <w:ind w:firstLine="709"/>
        <w:jc w:val="both"/>
        <w:outlineLvl w:val="1"/>
        <w:rPr>
          <w:rFonts w:ascii="Times New Roman" w:hAnsi="Times New Roman"/>
          <w:b/>
          <w:sz w:val="24"/>
          <w:szCs w:val="24"/>
        </w:rPr>
      </w:pPr>
    </w:p>
    <w:p w:rsidR="000C3D40" w:rsidRPr="00102C46" w:rsidRDefault="000C3D40" w:rsidP="000C3D40">
      <w:pPr>
        <w:widowControl w:val="0"/>
        <w:spacing w:after="0" w:line="240" w:lineRule="auto"/>
        <w:ind w:firstLine="709"/>
        <w:jc w:val="both"/>
        <w:outlineLvl w:val="1"/>
        <w:rPr>
          <w:rFonts w:ascii="Times New Roman" w:hAnsi="Times New Roman"/>
          <w:b/>
          <w:sz w:val="24"/>
          <w:szCs w:val="24"/>
        </w:rPr>
      </w:pPr>
      <w:r w:rsidRPr="00102C46">
        <w:rPr>
          <w:rFonts w:ascii="Times New Roman" w:hAnsi="Times New Roman"/>
          <w:b/>
          <w:sz w:val="24"/>
          <w:szCs w:val="24"/>
        </w:rPr>
        <w:t>Интернет-ресурсы</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https://udprf.ru/protivodeistvie-korruptsii - Управление Президента Российской Федерации по вопросам противодействия коррупции.</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w:t>
      </w:r>
      <w:hyperlink r:id="rId26" w:history="1">
        <w:r w:rsidRPr="00102C46">
          <w:rPr>
            <w:rFonts w:ascii="Times New Roman" w:hAnsi="Times New Roman"/>
            <w:sz w:val="24"/>
            <w:szCs w:val="24"/>
          </w:rPr>
          <w:t>https://genproc.gov.ru/anticor/</w:t>
        </w:r>
      </w:hyperlink>
      <w:r w:rsidRPr="00102C46">
        <w:rPr>
          <w:rFonts w:ascii="Times New Roman" w:hAnsi="Times New Roman"/>
          <w:sz w:val="24"/>
          <w:szCs w:val="24"/>
        </w:rPr>
        <w:t xml:space="preserve"> - Генеральная прокуратура Российской Федерации. Противодействие коррупции.</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w:t>
      </w:r>
      <w:hyperlink r:id="rId27" w:history="1">
        <w:r w:rsidRPr="00102C46">
          <w:rPr>
            <w:rFonts w:ascii="Times New Roman" w:hAnsi="Times New Roman"/>
            <w:sz w:val="24"/>
            <w:szCs w:val="24"/>
          </w:rPr>
          <w:t>http://law.edu.ru/</w:t>
        </w:r>
      </w:hyperlink>
      <w:r w:rsidRPr="00102C46">
        <w:rPr>
          <w:rFonts w:ascii="Times New Roman" w:hAnsi="Times New Roman"/>
          <w:sz w:val="24"/>
          <w:szCs w:val="24"/>
        </w:rPr>
        <w:t xml:space="preserve"> - Федеральный правовой портал «Юридическая Россия»;</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lastRenderedPageBreak/>
        <w:t xml:space="preserve">- </w:t>
      </w:r>
      <w:hyperlink r:id="rId28" w:history="1">
        <w:r w:rsidRPr="00102C46">
          <w:rPr>
            <w:rFonts w:ascii="Times New Roman" w:hAnsi="Times New Roman"/>
            <w:sz w:val="24"/>
            <w:szCs w:val="24"/>
          </w:rPr>
          <w:t>http://msal.ru/</w:t>
        </w:r>
      </w:hyperlink>
      <w:r w:rsidRPr="00102C46">
        <w:rPr>
          <w:rFonts w:ascii="Times New Roman" w:hAnsi="Times New Roman"/>
          <w:sz w:val="24"/>
          <w:szCs w:val="24"/>
        </w:rPr>
        <w:t xml:space="preserve"> - Московский государственный университет имени О.Е. КУТАФИН; </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-http://www.osu.ru/ - Оренбургский государственный университет;</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w:t>
      </w:r>
      <w:hyperlink r:id="rId29" w:history="1">
        <w:r w:rsidRPr="00102C46">
          <w:rPr>
            <w:rFonts w:ascii="Times New Roman" w:hAnsi="Times New Roman"/>
            <w:sz w:val="24"/>
            <w:szCs w:val="24"/>
          </w:rPr>
          <w:t>http://www.garant.ru/</w:t>
        </w:r>
      </w:hyperlink>
      <w:r w:rsidRPr="00102C46">
        <w:rPr>
          <w:rFonts w:ascii="Times New Roman" w:hAnsi="Times New Roman"/>
          <w:sz w:val="24"/>
          <w:szCs w:val="24"/>
        </w:rPr>
        <w:t xml:space="preserve"> - Гарант;</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http://www.kodeks.ru/ - Кодекс; </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xml:space="preserve">- </w:t>
      </w:r>
      <w:hyperlink r:id="rId30" w:history="1">
        <w:r w:rsidRPr="00102C46">
          <w:rPr>
            <w:rFonts w:ascii="Times New Roman" w:hAnsi="Times New Roman"/>
            <w:sz w:val="24"/>
            <w:szCs w:val="24"/>
          </w:rPr>
          <w:t>http://www.consultant.ru</w:t>
        </w:r>
      </w:hyperlink>
      <w:r w:rsidRPr="00102C46">
        <w:rPr>
          <w:rFonts w:ascii="Times New Roman" w:hAnsi="Times New Roman"/>
          <w:sz w:val="24"/>
          <w:szCs w:val="24"/>
        </w:rPr>
        <w:t xml:space="preserve"> – КонсультанПлюс</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http://www.allpravo.ru/library - Электронная библиотека «Все о праве. Проводник в мире юриспруденции»</w:t>
      </w:r>
    </w:p>
    <w:p w:rsidR="000C3D40" w:rsidRPr="00102C46" w:rsidRDefault="000C3D40" w:rsidP="000C3D40">
      <w:pPr>
        <w:widowControl w:val="0"/>
        <w:spacing w:after="0" w:line="240" w:lineRule="auto"/>
        <w:ind w:firstLine="709"/>
        <w:jc w:val="both"/>
        <w:rPr>
          <w:rFonts w:ascii="Times New Roman" w:hAnsi="Times New Roman"/>
          <w:sz w:val="24"/>
          <w:szCs w:val="24"/>
        </w:rPr>
      </w:pPr>
      <w:r w:rsidRPr="00102C46">
        <w:rPr>
          <w:rFonts w:ascii="Times New Roman" w:hAnsi="Times New Roman"/>
          <w:sz w:val="24"/>
          <w:szCs w:val="24"/>
        </w:rPr>
        <w:t>- http://diss.rsl.ru - Электронная библиотека диссертаций Российской государственной библиотеки</w:t>
      </w:r>
    </w:p>
    <w:p w:rsidR="004F3484" w:rsidRPr="00102C46" w:rsidRDefault="000C3D40" w:rsidP="000C3D40">
      <w:pPr>
        <w:spacing w:after="0" w:line="240" w:lineRule="auto"/>
        <w:ind w:firstLine="709"/>
        <w:jc w:val="both"/>
        <w:rPr>
          <w:rFonts w:ascii="Times New Roman" w:eastAsia="Times New Roman" w:hAnsi="Times New Roman"/>
          <w:b/>
          <w:bCs/>
          <w:sz w:val="24"/>
          <w:szCs w:val="24"/>
          <w:lang w:eastAsia="ru-RU"/>
        </w:rPr>
      </w:pPr>
      <w:r w:rsidRPr="00102C46">
        <w:rPr>
          <w:rFonts w:ascii="Times New Roman" w:hAnsi="Times New Roman"/>
          <w:sz w:val="24"/>
          <w:szCs w:val="24"/>
        </w:rPr>
        <w:t>- https://cyberleninka.ru - научная электронная библиотека «КиберЛенинка»</w:t>
      </w:r>
    </w:p>
    <w:sectPr w:rsidR="004F3484" w:rsidRPr="00102C46" w:rsidSect="00837A91">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28" w:rsidRDefault="00352A28" w:rsidP="00F23541">
      <w:pPr>
        <w:spacing w:after="0" w:line="240" w:lineRule="auto"/>
      </w:pPr>
      <w:r>
        <w:separator/>
      </w:r>
    </w:p>
  </w:endnote>
  <w:endnote w:type="continuationSeparator" w:id="0">
    <w:p w:rsidR="00352A28" w:rsidRDefault="00352A28"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897BF1" w:rsidRPr="001466B5" w:rsidRDefault="00897BF1">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102C46">
          <w:rPr>
            <w:rFonts w:ascii="Times New Roman" w:hAnsi="Times New Roman"/>
            <w:noProof/>
            <w:sz w:val="24"/>
            <w:szCs w:val="24"/>
          </w:rPr>
          <w:t>4</w:t>
        </w:r>
        <w:r w:rsidRPr="001466B5">
          <w:rPr>
            <w:rFonts w:ascii="Times New Roman" w:hAnsi="Times New Roman"/>
            <w:sz w:val="24"/>
            <w:szCs w:val="24"/>
          </w:rPr>
          <w:fldChar w:fldCharType="end"/>
        </w:r>
      </w:p>
    </w:sdtContent>
  </w:sdt>
  <w:p w:rsidR="00897BF1" w:rsidRDefault="00897B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28" w:rsidRDefault="00352A28" w:rsidP="00F23541">
      <w:pPr>
        <w:spacing w:after="0" w:line="240" w:lineRule="auto"/>
      </w:pPr>
      <w:r>
        <w:separator/>
      </w:r>
    </w:p>
  </w:footnote>
  <w:footnote w:type="continuationSeparator" w:id="0">
    <w:p w:rsidR="00352A28" w:rsidRDefault="00352A28"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52A28"/>
    <w:rsid w:val="003658B9"/>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42174"/>
    <w:rsid w:val="00656372"/>
    <w:rsid w:val="00674283"/>
    <w:rsid w:val="00690998"/>
    <w:rsid w:val="00693DEB"/>
    <w:rsid w:val="006D7BB0"/>
    <w:rsid w:val="006E4B59"/>
    <w:rsid w:val="006E5944"/>
    <w:rsid w:val="0070045A"/>
    <w:rsid w:val="00710813"/>
    <w:rsid w:val="00716B04"/>
    <w:rsid w:val="00756173"/>
    <w:rsid w:val="00760004"/>
    <w:rsid w:val="00781E26"/>
    <w:rsid w:val="007854D6"/>
    <w:rsid w:val="007C4FA8"/>
    <w:rsid w:val="007C69FE"/>
    <w:rsid w:val="007D2E2B"/>
    <w:rsid w:val="007D40D6"/>
    <w:rsid w:val="007D5553"/>
    <w:rsid w:val="00815CBA"/>
    <w:rsid w:val="00820A6C"/>
    <w:rsid w:val="00823BA1"/>
    <w:rsid w:val="00830CEB"/>
    <w:rsid w:val="00834000"/>
    <w:rsid w:val="00837A91"/>
    <w:rsid w:val="00853251"/>
    <w:rsid w:val="00866445"/>
    <w:rsid w:val="008916F6"/>
    <w:rsid w:val="00897BF1"/>
    <w:rsid w:val="008F590D"/>
    <w:rsid w:val="00903188"/>
    <w:rsid w:val="00907C33"/>
    <w:rsid w:val="00910517"/>
    <w:rsid w:val="00922FA7"/>
    <w:rsid w:val="009449B0"/>
    <w:rsid w:val="00946314"/>
    <w:rsid w:val="009619FA"/>
    <w:rsid w:val="00970360"/>
    <w:rsid w:val="00975F2A"/>
    <w:rsid w:val="00980A08"/>
    <w:rsid w:val="009A43A4"/>
    <w:rsid w:val="009B6EF4"/>
    <w:rsid w:val="009B70DD"/>
    <w:rsid w:val="009D6B66"/>
    <w:rsid w:val="009D7B31"/>
    <w:rsid w:val="009E46F5"/>
    <w:rsid w:val="009F20F6"/>
    <w:rsid w:val="00A22896"/>
    <w:rsid w:val="00A2770A"/>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D5DF5"/>
    <w:rsid w:val="00EE7061"/>
    <w:rsid w:val="00EF00A7"/>
    <w:rsid w:val="00EF1CFB"/>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C90E-9FA7-4540-96CA-6DA46DC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biblioclub.ru/index.php?page=book&amp;id=257795" TargetMode="External"/><Relationship Id="rId26" Type="http://schemas.openxmlformats.org/officeDocument/2006/relationships/hyperlink" Target="https://genproc.gov.ru/anticor/"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osu.ru/doc/3591" TargetMode="External"/><Relationship Id="rId25" Type="http://schemas.openxmlformats.org/officeDocument/2006/relationships/hyperlink" Target="http://biblioclub.ru/index.php?page=book&amp;id=25787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biblioclub.ru/index.php?page=book&amp;id=11945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4576" TargetMode="External"/><Relationship Id="rId28" Type="http://schemas.openxmlformats.org/officeDocument/2006/relationships/hyperlink" Target="http://msal.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law.edu.ru/" TargetMode="External"/><Relationship Id="rId30"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0549-2D9C-4CF4-B532-22707195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Pages>
  <Words>14186</Words>
  <Characters>80866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Баскаков</cp:lastModifiedBy>
  <cp:revision>63</cp:revision>
  <dcterms:created xsi:type="dcterms:W3CDTF">2011-09-12T12:56:00Z</dcterms:created>
  <dcterms:modified xsi:type="dcterms:W3CDTF">2019-10-16T06:28:00Z</dcterms:modified>
</cp:coreProperties>
</file>