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739E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166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182A" w:rsidRPr="00E0182A" w:rsidRDefault="00E0182A" w:rsidP="00E0182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E0182A">
        <w:rPr>
          <w:rFonts w:ascii="Times New Roman" w:hAnsi="Times New Roman" w:cs="Times New Roman"/>
          <w:i/>
          <w:sz w:val="24"/>
          <w:u w:val="single"/>
        </w:rPr>
        <w:t>Теории и технологии музыкального воспитания детей»</w:t>
      </w:r>
    </w:p>
    <w:p w:rsidR="00E0182A" w:rsidRPr="00FE53CD" w:rsidRDefault="00E0182A" w:rsidP="00E018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D166D" w:rsidRPr="00DD166D" w:rsidRDefault="00DD166D" w:rsidP="00DD166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DD166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DD166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DD166D" w:rsidRPr="00DD166D" w:rsidRDefault="00DD166D" w:rsidP="00DD166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D166D" w:rsidRPr="00DD166D" w:rsidRDefault="00DD166D" w:rsidP="00DD166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D166D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DD166D" w:rsidRPr="00DD166D" w:rsidRDefault="00DD166D" w:rsidP="00DD166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DD166D" w:rsidRPr="00DD166D" w:rsidRDefault="00DD166D" w:rsidP="00DD166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6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146978E" wp14:editId="7C30E891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66D" w:rsidRPr="00DD166D" w:rsidRDefault="00DD166D" w:rsidP="00DD16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82A" w:rsidRDefault="00E0182A" w:rsidP="00E01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CC" w:rsidRDefault="003147CC" w:rsidP="00B24C3E">
      <w:pPr>
        <w:spacing w:after="0" w:line="240" w:lineRule="auto"/>
      </w:pPr>
      <w:r>
        <w:separator/>
      </w:r>
    </w:p>
  </w:endnote>
  <w:endnote w:type="continuationSeparator" w:id="0">
    <w:p w:rsidR="003147CC" w:rsidRDefault="003147C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66D">
      <w:rPr>
        <w:rStyle w:val="a7"/>
        <w:noProof/>
      </w:rPr>
      <w:t>7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CC" w:rsidRDefault="003147CC" w:rsidP="00B24C3E">
      <w:pPr>
        <w:spacing w:after="0" w:line="240" w:lineRule="auto"/>
      </w:pPr>
      <w:r>
        <w:separator/>
      </w:r>
    </w:p>
  </w:footnote>
  <w:footnote w:type="continuationSeparator" w:id="0">
    <w:p w:rsidR="003147CC" w:rsidRDefault="003147C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739EE"/>
    <w:rsid w:val="00281CE9"/>
    <w:rsid w:val="00290823"/>
    <w:rsid w:val="002A06EF"/>
    <w:rsid w:val="002C36E6"/>
    <w:rsid w:val="002E2C17"/>
    <w:rsid w:val="002F5600"/>
    <w:rsid w:val="003147CC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E075C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15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D166D"/>
    <w:rsid w:val="00DE62D7"/>
    <w:rsid w:val="00E0182A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D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D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A396-A66C-4896-84FA-237F4E18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29</Pages>
  <Words>7489</Words>
  <Characters>42690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2016-08-25T17:04:00Z</dcterms:created>
  <dcterms:modified xsi:type="dcterms:W3CDTF">2023-09-11T16:24:00Z</dcterms:modified>
</cp:coreProperties>
</file>