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A" w:rsidRPr="009A3EEA" w:rsidRDefault="009A3EEA" w:rsidP="009A3EEA">
      <w:pPr>
        <w:pStyle w:val="ReportHead"/>
        <w:suppressAutoHyphens/>
        <w:rPr>
          <w:sz w:val="24"/>
        </w:rPr>
      </w:pPr>
      <w:r w:rsidRPr="009A3EEA">
        <w:rPr>
          <w:sz w:val="24"/>
        </w:rPr>
        <w:t>Министерство образования и науки Российской Федерации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AF3CC8" w:rsidRDefault="00CA390D" w:rsidP="00CA390D">
      <w:pPr>
        <w:pStyle w:val="ReportHead"/>
        <w:suppressAutoHyphens/>
        <w:spacing w:before="120"/>
        <w:rPr>
          <w:b/>
        </w:rPr>
      </w:pPr>
      <w:r w:rsidRPr="00AF3CC8">
        <w:rPr>
          <w:b/>
        </w:rPr>
        <w:t>МЕТОДИЧЕСКИЕ УКАЗАНИЯ ПО ОСВОЕНИЮ</w:t>
      </w:r>
    </w:p>
    <w:p w:rsidR="00CA390D" w:rsidRPr="00AF3CC8" w:rsidRDefault="00CA390D" w:rsidP="00CA390D">
      <w:pPr>
        <w:pStyle w:val="ReportHead"/>
        <w:suppressAutoHyphens/>
        <w:spacing w:before="120"/>
        <w:rPr>
          <w:b/>
          <w:sz w:val="24"/>
        </w:rPr>
      </w:pPr>
      <w:r w:rsidRPr="00AF3CC8">
        <w:rPr>
          <w:b/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2016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; Бузулукский гуманитарно-технологический институт (филиал) ОГУ. – Бузулук: БГТИ (филиал) ОГУ, 2016.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«___»______________2016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рубежному контролю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10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B26A2">
        <w:rPr>
          <w:rFonts w:ascii="Times New Roman" w:hAnsi="Times New Roman" w:cs="Times New Roman"/>
          <w:sz w:val="28"/>
          <w:szCs w:val="28"/>
        </w:rPr>
        <w:t>11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16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8B26A2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8B26A2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B26A2">
        <w:rPr>
          <w:rFonts w:ascii="Times New Roman" w:hAnsi="Times New Roman" w:cs="Times New Roman"/>
          <w:sz w:val="28"/>
          <w:szCs w:val="28"/>
        </w:rPr>
        <w:t>21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8B26A2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рубежному контролю.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зачету.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занятиях за все виды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оптимальную накопляемость оценок успеваемости каждого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Накопляемость оценок успеваемости студентов добивается при использовании разнообразных методов оценки знаний: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устные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письменные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Рубежный контроль знаний, умений и навыков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семестра – на 8 и 16 неделе.</w:t>
      </w:r>
    </w:p>
    <w:p w:rsidR="00514FF3" w:rsidRDefault="00514FF3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E097B">
        <w:rPr>
          <w:sz w:val="28"/>
          <w:szCs w:val="28"/>
        </w:rPr>
        <w:t xml:space="preserve">Для подготовки к рубежному контролю необходимо повторить </w:t>
      </w:r>
      <w:r w:rsidRPr="00833EB8">
        <w:rPr>
          <w:sz w:val="28"/>
          <w:szCs w:val="28"/>
        </w:rPr>
        <w:t>материал, пройденны</w:t>
      </w:r>
      <w:r w:rsidR="001D4B3D">
        <w:rPr>
          <w:sz w:val="28"/>
          <w:szCs w:val="28"/>
        </w:rPr>
        <w:t>й за время изучения дисциплины</w:t>
      </w:r>
      <w:r w:rsidRPr="00833EB8">
        <w:rPr>
          <w:sz w:val="28"/>
          <w:szCs w:val="28"/>
        </w:rPr>
        <w:t>.</w:t>
      </w:r>
    </w:p>
    <w:p w:rsidR="00BA7074" w:rsidRPr="00833EB8" w:rsidRDefault="00BA7074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Рейтинговый контроль проводится в форме тестирования. При выполнении тестов необходимо выбрать наиболее правильный из предложенных ответов.</w:t>
      </w:r>
    </w:p>
    <w:p w:rsidR="00514FF3" w:rsidRDefault="00514FF3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тестирования</w:t>
      </w:r>
      <w:r w:rsidRPr="00D4485A">
        <w:rPr>
          <w:rFonts w:ascii="Times New Roman" w:eastAsia="Times New Roman" w:hAnsi="Times New Roman" w:cs="Times New Roman"/>
          <w:color w:val="000000"/>
          <w:sz w:val="28"/>
          <w:szCs w:val="28"/>
        </w:rPr>
        <w:t>– 40 минут.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87910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A87910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A87910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A87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87910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A87910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  <w:r w:rsidRPr="006F504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BF" w:rsidRPr="00936787" w:rsidRDefault="00186FBF" w:rsidP="00186FBF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186FBF" w:rsidRPr="00936787" w:rsidRDefault="00186FBF" w:rsidP="00186FBF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FBF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186FBF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86FBF" w:rsidRPr="00BA7074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</w:t>
      </w:r>
      <w:r w:rsidR="00013651" w:rsidRPr="00013651">
        <w:rPr>
          <w:color w:val="000000"/>
          <w:sz w:val="28"/>
          <w:szCs w:val="28"/>
        </w:rPr>
        <w:t>Выполнено более 95 % заданий предложенного теста, в заданиях открытого типа дан полный, развернутый ответ на поставленный вопрос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="00013651" w:rsidRPr="00013651">
        <w:rPr>
          <w:color w:val="000000"/>
          <w:sz w:val="28"/>
          <w:szCs w:val="28"/>
        </w:rPr>
        <w:t>Выполнено от 75 до 95 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="00013651" w:rsidRPr="00013651">
        <w:rPr>
          <w:color w:val="000000"/>
          <w:sz w:val="28"/>
          <w:szCs w:val="28"/>
        </w:rPr>
        <w:t>Выполнено от 50 до 75 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«неудовлетворительно» - </w:t>
      </w:r>
      <w:r w:rsidR="00013651" w:rsidRPr="00013651">
        <w:rPr>
          <w:color w:val="000000"/>
          <w:sz w:val="28"/>
          <w:szCs w:val="28"/>
          <w:u w:val="single"/>
        </w:rPr>
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186FBF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86FBF" w:rsidRPr="00BA7074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186FBF" w:rsidRPr="0034585D" w:rsidRDefault="00186FBF" w:rsidP="00186FB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пользоваться курсом лекций или учебниками.</w:t>
      </w:r>
    </w:p>
    <w:p w:rsidR="00186FBF" w:rsidRDefault="00186FBF" w:rsidP="00186F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6FBF" w:rsidRDefault="00186FBF" w:rsidP="00186F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6FBF" w:rsidRPr="00BA7074" w:rsidRDefault="00186FBF" w:rsidP="00186F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07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186FBF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О</w:t>
      </w:r>
      <w:r w:rsidRPr="00946E20">
        <w:rPr>
          <w:rFonts w:eastAsia="Times New Roman"/>
          <w:color w:val="000000"/>
          <w:sz w:val="28"/>
          <w:szCs w:val="28"/>
        </w:rPr>
        <w:t>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86FBF" w:rsidRPr="00946E20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86FBF" w:rsidRPr="00946E20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186FBF" w:rsidRPr="00946E20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86FBF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86FBF" w:rsidRPr="00946E20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186FBF" w:rsidRDefault="00186FBF" w:rsidP="00186FBF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83" w:rsidRDefault="000F4683" w:rsidP="009C4F41">
      <w:pPr>
        <w:spacing w:after="0" w:line="240" w:lineRule="auto"/>
      </w:pPr>
      <w:r>
        <w:separator/>
      </w:r>
    </w:p>
  </w:endnote>
  <w:endnote w:type="continuationSeparator" w:id="0">
    <w:p w:rsidR="000F4683" w:rsidRDefault="000F4683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A87910">
          <w:rPr>
            <w:rFonts w:ascii="Times New Roman" w:hAnsi="Times New Roman" w:cs="Times New Roman"/>
            <w:noProof/>
            <w:sz w:val="24"/>
          </w:rPr>
          <w:t>17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83" w:rsidRDefault="000F4683" w:rsidP="009C4F41">
      <w:pPr>
        <w:spacing w:after="0" w:line="240" w:lineRule="auto"/>
      </w:pPr>
      <w:r>
        <w:separator/>
      </w:r>
    </w:p>
  </w:footnote>
  <w:footnote w:type="continuationSeparator" w:id="0">
    <w:p w:rsidR="000F4683" w:rsidRDefault="000F4683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E3F"/>
    <w:rsid w:val="00013651"/>
    <w:rsid w:val="000202A4"/>
    <w:rsid w:val="0008529D"/>
    <w:rsid w:val="00093F2F"/>
    <w:rsid w:val="000957DB"/>
    <w:rsid w:val="000B4C02"/>
    <w:rsid w:val="000F4683"/>
    <w:rsid w:val="00181518"/>
    <w:rsid w:val="00186FBF"/>
    <w:rsid w:val="0019301A"/>
    <w:rsid w:val="001D4B3D"/>
    <w:rsid w:val="00262223"/>
    <w:rsid w:val="002700DD"/>
    <w:rsid w:val="002B3294"/>
    <w:rsid w:val="00311901"/>
    <w:rsid w:val="0034585D"/>
    <w:rsid w:val="003C6536"/>
    <w:rsid w:val="003E0F16"/>
    <w:rsid w:val="003E2504"/>
    <w:rsid w:val="003F7C7A"/>
    <w:rsid w:val="00422C8C"/>
    <w:rsid w:val="00437874"/>
    <w:rsid w:val="004B71DC"/>
    <w:rsid w:val="00514FF3"/>
    <w:rsid w:val="00566F3F"/>
    <w:rsid w:val="005D68F2"/>
    <w:rsid w:val="00683543"/>
    <w:rsid w:val="006A2CCB"/>
    <w:rsid w:val="006F462B"/>
    <w:rsid w:val="006F5040"/>
    <w:rsid w:val="00715E3E"/>
    <w:rsid w:val="007643D6"/>
    <w:rsid w:val="00776ECC"/>
    <w:rsid w:val="00844069"/>
    <w:rsid w:val="008666AF"/>
    <w:rsid w:val="008B26A2"/>
    <w:rsid w:val="00914B24"/>
    <w:rsid w:val="00941B2E"/>
    <w:rsid w:val="0097311D"/>
    <w:rsid w:val="0099662D"/>
    <w:rsid w:val="009A3EEA"/>
    <w:rsid w:val="009C4F41"/>
    <w:rsid w:val="009D6E3F"/>
    <w:rsid w:val="00A075F2"/>
    <w:rsid w:val="00A25FE1"/>
    <w:rsid w:val="00A87910"/>
    <w:rsid w:val="00AA1506"/>
    <w:rsid w:val="00AD16C3"/>
    <w:rsid w:val="00AF3CC8"/>
    <w:rsid w:val="00BA7074"/>
    <w:rsid w:val="00BC5AE7"/>
    <w:rsid w:val="00C05FA7"/>
    <w:rsid w:val="00C07FDF"/>
    <w:rsid w:val="00C61590"/>
    <w:rsid w:val="00C91CA6"/>
    <w:rsid w:val="00CA390D"/>
    <w:rsid w:val="00CA77E5"/>
    <w:rsid w:val="00D10E9D"/>
    <w:rsid w:val="00D4485A"/>
    <w:rsid w:val="00D47509"/>
    <w:rsid w:val="00DB1F55"/>
    <w:rsid w:val="00DC59B8"/>
    <w:rsid w:val="00E36D9E"/>
    <w:rsid w:val="00E8100F"/>
    <w:rsid w:val="00F37DA8"/>
    <w:rsid w:val="00F4178F"/>
    <w:rsid w:val="00F72274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04AB-1CDD-4857-8C68-D885418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60C8-E45B-455B-B047-0B18BE7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60</cp:revision>
  <cp:lastPrinted>2019-11-27T03:37:00Z</cp:lastPrinted>
  <dcterms:created xsi:type="dcterms:W3CDTF">2018-01-08T12:50:00Z</dcterms:created>
  <dcterms:modified xsi:type="dcterms:W3CDTF">2019-12-13T05:59:00Z</dcterms:modified>
</cp:coreProperties>
</file>