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C723CB" w:rsidP="00A75EA1">
      <w:pPr>
        <w:pStyle w:val="ReportHead"/>
        <w:suppressAutoHyphens/>
        <w:rPr>
          <w:i/>
          <w:u w:val="single"/>
        </w:rPr>
      </w:pPr>
      <w:r>
        <w:rPr>
          <w:i/>
          <w:u w:val="single"/>
        </w:rPr>
        <w:t>38</w:t>
      </w:r>
      <w:r w:rsidR="00A75EA1">
        <w:rPr>
          <w:i/>
          <w:u w:val="single"/>
        </w:rPr>
        <w:t xml:space="preserve">.03.01 </w:t>
      </w:r>
      <w:r>
        <w:rPr>
          <w:i/>
          <w:u w:val="single"/>
        </w:rPr>
        <w:t>Экономика</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8548FA" w:rsidRDefault="00C723CB" w:rsidP="00A75EA1">
      <w:pPr>
        <w:pStyle w:val="ReportHead"/>
        <w:suppressAutoHyphens/>
        <w:rPr>
          <w:i/>
          <w:u w:val="single"/>
        </w:rPr>
      </w:pPr>
      <w:r>
        <w:rPr>
          <w:i/>
          <w:u w:val="single"/>
        </w:rPr>
        <w:t>Финансы и кредит</w:t>
      </w:r>
    </w:p>
    <w:p w:rsidR="00A75EA1" w:rsidRDefault="00A75EA1" w:rsidP="00A75EA1">
      <w:pPr>
        <w:pStyle w:val="ReportHead"/>
        <w:suppressAutoHyphens/>
        <w:rPr>
          <w:sz w:val="24"/>
          <w:vertAlign w:val="superscript"/>
        </w:rPr>
      </w:pPr>
      <w:r>
        <w:rPr>
          <w:sz w:val="24"/>
          <w:vertAlign w:val="superscript"/>
        </w:rPr>
        <w:t>(наименование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48769C" w:rsidP="00A75EA1">
      <w:pPr>
        <w:pStyle w:val="ReportHead"/>
        <w:suppressAutoHyphens/>
        <w:rPr>
          <w:i/>
          <w:sz w:val="24"/>
          <w:u w:val="single"/>
        </w:rPr>
      </w:pPr>
      <w:r>
        <w:rPr>
          <w:i/>
          <w:sz w:val="24"/>
          <w:u w:val="single"/>
        </w:rPr>
        <w:t>Очно-заочная</w:t>
      </w:r>
      <w:bookmarkStart w:id="0" w:name="_GoBack"/>
      <w:bookmarkEnd w:id="0"/>
    </w:p>
    <w:p w:rsidR="00A75EA1" w:rsidRDefault="00A75EA1" w:rsidP="00A75EA1">
      <w:pPr>
        <w:pStyle w:val="ReportHead"/>
        <w:suppressAutoHyphens/>
      </w:pPr>
      <w:bookmarkStart w:id="1" w:name="BookmarkWhereDelChr13"/>
      <w:bookmarkEnd w:id="1"/>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253DF">
        <w:t>2</w:t>
      </w:r>
      <w:r w:rsidR="008548FA">
        <w:t>3</w:t>
      </w:r>
    </w:p>
    <w:p w:rsidR="002F4FBA" w:rsidRPr="002F4FBA" w:rsidRDefault="002F4FBA" w:rsidP="002F4FBA">
      <w:pPr>
        <w:suppressAutoHyphens/>
        <w:spacing w:after="0" w:line="240" w:lineRule="auto"/>
        <w:ind w:firstLine="567"/>
        <w:jc w:val="both"/>
        <w:rPr>
          <w:sz w:val="24"/>
          <w:u w:val="single"/>
        </w:rPr>
      </w:pPr>
      <w:bookmarkStart w:id="2" w:name="BookmarkTestIsMustDelChr13"/>
      <w:bookmarkEnd w:id="2"/>
      <w:r w:rsidRPr="002F4FBA">
        <w:rPr>
          <w:sz w:val="24"/>
        </w:rPr>
        <w:lastRenderedPageBreak/>
        <w:t xml:space="preserve">Фонд оценочных средств предназначен для контроля знаний обучающихся по направлению подготовки </w:t>
      </w:r>
      <w:r w:rsidRPr="002F4FBA">
        <w:rPr>
          <w:i/>
          <w:sz w:val="24"/>
          <w:u w:val="single"/>
        </w:rPr>
        <w:t xml:space="preserve">44.03.01 Педагогическое образование </w:t>
      </w:r>
      <w:r w:rsidRPr="002F4FBA">
        <w:rPr>
          <w:sz w:val="24"/>
        </w:rPr>
        <w:t xml:space="preserve"> по дисциплине «Русский язык и культура речи»</w:t>
      </w:r>
    </w:p>
    <w:p w:rsidR="002F4FBA" w:rsidRPr="002F4FBA" w:rsidRDefault="002F4FBA" w:rsidP="002F4FBA">
      <w:pPr>
        <w:suppressAutoHyphens/>
        <w:spacing w:after="0" w:line="240" w:lineRule="auto"/>
        <w:jc w:val="both"/>
        <w:rPr>
          <w:sz w:val="24"/>
          <w:u w:val="single"/>
        </w:rPr>
      </w:pPr>
    </w:p>
    <w:p w:rsidR="008548FA" w:rsidRPr="008548FA" w:rsidRDefault="008548FA" w:rsidP="008548FA">
      <w:pPr>
        <w:suppressAutoHyphens/>
        <w:spacing w:after="0" w:line="240" w:lineRule="auto"/>
        <w:ind w:firstLine="850"/>
        <w:jc w:val="both"/>
        <w:rPr>
          <w:rFonts w:eastAsia="Calibri"/>
          <w:sz w:val="24"/>
          <w:szCs w:val="24"/>
          <w:u w:val="single"/>
          <w:lang w:eastAsia="x-none"/>
        </w:rPr>
      </w:pPr>
      <w:r w:rsidRPr="008548FA">
        <w:rPr>
          <w:rFonts w:eastAsia="Calibri"/>
          <w:sz w:val="24"/>
          <w:szCs w:val="24"/>
          <w:lang w:val="x-none" w:eastAsia="x-none"/>
        </w:rPr>
        <w:t>Фонд оценочных средств рассмотрен и утвержден на заседании кафедры</w:t>
      </w:r>
      <w:r w:rsidRPr="008548FA">
        <w:rPr>
          <w:rFonts w:eastAsia="Calibri"/>
          <w:sz w:val="24"/>
          <w:szCs w:val="24"/>
          <w:lang w:eastAsia="x-none"/>
        </w:rPr>
        <w:t xml:space="preserve"> педагогического образования. </w:t>
      </w:r>
    </w:p>
    <w:p w:rsidR="008548FA" w:rsidRPr="008548FA" w:rsidRDefault="008548FA" w:rsidP="008548FA">
      <w:pPr>
        <w:tabs>
          <w:tab w:val="left" w:pos="10432"/>
        </w:tabs>
        <w:suppressAutoHyphens/>
        <w:spacing w:after="0" w:line="240" w:lineRule="auto"/>
        <w:jc w:val="both"/>
        <w:rPr>
          <w:rFonts w:eastAsia="Calibri"/>
          <w:sz w:val="24"/>
        </w:rPr>
      </w:pPr>
    </w:p>
    <w:p w:rsidR="008548FA" w:rsidRPr="008548FA" w:rsidRDefault="008548FA" w:rsidP="008548FA">
      <w:pPr>
        <w:tabs>
          <w:tab w:val="left" w:pos="10432"/>
        </w:tabs>
        <w:suppressAutoHyphens/>
        <w:spacing w:after="0" w:line="240" w:lineRule="auto"/>
        <w:jc w:val="both"/>
        <w:rPr>
          <w:rFonts w:eastAsia="Calibri"/>
          <w:sz w:val="24"/>
        </w:rPr>
      </w:pPr>
      <w:r w:rsidRPr="008548FA">
        <w:rPr>
          <w:rFonts w:eastAsia="Calibri"/>
          <w:sz w:val="24"/>
        </w:rPr>
        <w:t>протокол № 6 от "27" 01. 2023 г.</w:t>
      </w:r>
    </w:p>
    <w:p w:rsidR="008548FA" w:rsidRPr="008548FA" w:rsidRDefault="008548FA" w:rsidP="008548FA">
      <w:pPr>
        <w:tabs>
          <w:tab w:val="left" w:pos="10432"/>
        </w:tabs>
        <w:suppressAutoHyphens/>
        <w:spacing w:after="0" w:line="240" w:lineRule="auto"/>
        <w:jc w:val="both"/>
        <w:rPr>
          <w:rFonts w:eastAsia="Calibri"/>
          <w:sz w:val="24"/>
          <w:szCs w:val="24"/>
          <w:lang w:val="x-none" w:eastAsia="x-none"/>
        </w:rPr>
      </w:pPr>
    </w:p>
    <w:p w:rsidR="008548FA" w:rsidRPr="008548FA" w:rsidRDefault="008548FA" w:rsidP="008548FA">
      <w:pPr>
        <w:suppressLineNumbers/>
        <w:spacing w:after="0" w:line="240" w:lineRule="auto"/>
        <w:jc w:val="center"/>
        <w:rPr>
          <w:rFonts w:eastAsia="Times New Roman"/>
          <w:sz w:val="28"/>
          <w:szCs w:val="28"/>
        </w:rPr>
      </w:pPr>
      <w:r w:rsidRPr="008548FA">
        <w:rPr>
          <w:noProof/>
          <w:sz w:val="24"/>
          <w:lang w:eastAsia="ru-RU"/>
        </w:rPr>
        <w:drawing>
          <wp:inline distT="0" distB="0" distL="0" distR="0" wp14:anchorId="332EBBAE" wp14:editId="22E2C712">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1326917"/>
                    </a:xfrm>
                    <a:prstGeom prst="rect">
                      <a:avLst/>
                    </a:prstGeom>
                  </pic:spPr>
                </pic:pic>
              </a:graphicData>
            </a:graphic>
          </wp:inline>
        </w:drawing>
      </w:r>
    </w:p>
    <w:p w:rsidR="008548FA" w:rsidRPr="008548FA" w:rsidRDefault="008548FA" w:rsidP="008548FA">
      <w:pPr>
        <w:spacing w:after="0" w:line="360" w:lineRule="auto"/>
        <w:rPr>
          <w:rFonts w:eastAsia="Times New Roman"/>
          <w:sz w:val="28"/>
          <w:szCs w:val="28"/>
        </w:rPr>
      </w:pPr>
    </w:p>
    <w:p w:rsidR="008548FA" w:rsidRPr="008548FA" w:rsidRDefault="008548FA" w:rsidP="008548FA">
      <w:pPr>
        <w:spacing w:after="0" w:line="360" w:lineRule="auto"/>
        <w:jc w:val="both"/>
        <w:rPr>
          <w:rFonts w:eastAsia="Times New Roman"/>
          <w:b/>
          <w:sz w:val="28"/>
          <w:szCs w:val="28"/>
        </w:rPr>
      </w:pPr>
    </w:p>
    <w:p w:rsidR="002F4FBA" w:rsidRPr="002F4FBA" w:rsidRDefault="002F4FBA" w:rsidP="002F4FBA">
      <w:pPr>
        <w:spacing w:after="0" w:line="360" w:lineRule="auto"/>
        <w:jc w:val="both"/>
        <w:rPr>
          <w:rFonts w:eastAsia="Times New Roman"/>
          <w:b/>
          <w:sz w:val="28"/>
          <w:szCs w:val="28"/>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8548FA" w:rsidRDefault="008548FA" w:rsidP="002F4FBA">
      <w:pPr>
        <w:rPr>
          <w:rFonts w:asciiTheme="minorHAnsi" w:hAnsiTheme="minorHAnsi" w:cstheme="minorBidi"/>
        </w:rPr>
      </w:pPr>
    </w:p>
    <w:p w:rsidR="008548FA" w:rsidRDefault="008548F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Pr="002F4FBA" w:rsidRDefault="002F4FBA" w:rsidP="002F4FBA">
      <w:pPr>
        <w:rPr>
          <w:rFonts w:asciiTheme="minorHAnsi" w:hAnsiTheme="minorHAnsi" w:cstheme="minorBidi"/>
        </w:rPr>
      </w:pPr>
    </w:p>
    <w:p w:rsidR="00A75EA1" w:rsidRDefault="00A75EA1">
      <w:pPr>
        <w:rPr>
          <w:i/>
          <w:sz w:val="24"/>
        </w:rPr>
      </w:pP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2977"/>
        <w:gridCol w:w="2977"/>
        <w:gridCol w:w="2268"/>
      </w:tblGrid>
      <w:tr w:rsidR="008548FA" w:rsidRPr="00A75EA1" w:rsidTr="008548FA">
        <w:trPr>
          <w:tblHeader/>
        </w:trPr>
        <w:tc>
          <w:tcPr>
            <w:tcW w:w="2319" w:type="dxa"/>
            <w:shd w:val="clear" w:color="auto" w:fill="auto"/>
            <w:vAlign w:val="center"/>
          </w:tcPr>
          <w:p w:rsidR="008548FA" w:rsidRPr="00A75EA1" w:rsidRDefault="008548FA" w:rsidP="00A75EA1">
            <w:pPr>
              <w:pStyle w:val="ReportMain"/>
              <w:suppressAutoHyphens/>
              <w:jc w:val="center"/>
            </w:pPr>
            <w:r w:rsidRPr="00A75EA1">
              <w:t>Формируемые компетенции</w:t>
            </w:r>
          </w:p>
        </w:tc>
        <w:tc>
          <w:tcPr>
            <w:tcW w:w="2977" w:type="dxa"/>
          </w:tcPr>
          <w:p w:rsidR="008548FA" w:rsidRPr="00A75EA1" w:rsidRDefault="008548FA" w:rsidP="00A75EA1">
            <w:pPr>
              <w:pStyle w:val="ReportMain"/>
              <w:suppressAutoHyphens/>
              <w:jc w:val="center"/>
            </w:pPr>
            <w:r w:rsidRPr="002B1510">
              <w:rPr>
                <w:szCs w:val="24"/>
              </w:rPr>
              <w:t>Код и наименование индикатора достижения компетенции</w:t>
            </w:r>
          </w:p>
        </w:tc>
        <w:tc>
          <w:tcPr>
            <w:tcW w:w="2977" w:type="dxa"/>
            <w:shd w:val="clear" w:color="auto" w:fill="auto"/>
            <w:vAlign w:val="center"/>
          </w:tcPr>
          <w:p w:rsidR="008548FA" w:rsidRPr="00A75EA1" w:rsidRDefault="008548FA"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8548FA" w:rsidRDefault="008548FA" w:rsidP="00A75EA1">
            <w:pPr>
              <w:pStyle w:val="ReportMain"/>
              <w:suppressAutoHyphens/>
              <w:jc w:val="center"/>
            </w:pPr>
            <w:r w:rsidRPr="00A75EA1">
              <w:t>Виды оценочных средств/</w:t>
            </w:r>
          </w:p>
          <w:p w:rsidR="008548FA" w:rsidRPr="00A75EA1" w:rsidRDefault="008548FA" w:rsidP="00A75EA1">
            <w:pPr>
              <w:pStyle w:val="ReportMain"/>
              <w:suppressAutoHyphens/>
              <w:jc w:val="center"/>
            </w:pPr>
            <w:r w:rsidRPr="00A75EA1">
              <w:t>шифр раздела в данном документе</w:t>
            </w:r>
          </w:p>
        </w:tc>
      </w:tr>
      <w:tr w:rsidR="008548FA" w:rsidRPr="00A75EA1" w:rsidTr="008548FA">
        <w:tc>
          <w:tcPr>
            <w:tcW w:w="2319" w:type="dxa"/>
            <w:vMerge w:val="restart"/>
            <w:shd w:val="clear" w:color="auto" w:fill="auto"/>
          </w:tcPr>
          <w:p w:rsidR="008548FA" w:rsidRPr="0050523E" w:rsidRDefault="008548FA" w:rsidP="00A75EA1">
            <w:pPr>
              <w:pStyle w:val="ReportMain"/>
              <w:suppressAutoHyphens/>
              <w:rPr>
                <w:highlight w:val="yellow"/>
              </w:rPr>
            </w:pPr>
            <w:r w:rsidRPr="0023715D">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3715D">
              <w:t>ых</w:t>
            </w:r>
            <w:proofErr w:type="spellEnd"/>
            <w:r w:rsidRPr="0023715D">
              <w:t>) языке(ах)</w:t>
            </w:r>
          </w:p>
        </w:tc>
        <w:tc>
          <w:tcPr>
            <w:tcW w:w="2977" w:type="dxa"/>
          </w:tcPr>
          <w:p w:rsidR="008548FA" w:rsidRPr="008548FA" w:rsidRDefault="008548FA" w:rsidP="008548FA">
            <w:pPr>
              <w:suppressAutoHyphens/>
              <w:spacing w:after="0" w:line="240" w:lineRule="auto"/>
              <w:rPr>
                <w:rFonts w:eastAsia="Calibri"/>
                <w:sz w:val="24"/>
              </w:rPr>
            </w:pPr>
            <w:r w:rsidRPr="008548FA">
              <w:rPr>
                <w:rFonts w:eastAsia="Calibri"/>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8548FA" w:rsidRPr="001154D2" w:rsidRDefault="008548FA" w:rsidP="008548FA">
            <w:pPr>
              <w:suppressAutoHyphens/>
              <w:spacing w:after="0" w:line="240" w:lineRule="auto"/>
              <w:jc w:val="both"/>
              <w:rPr>
                <w:rFonts w:eastAsia="Calibri"/>
                <w:b/>
                <w:sz w:val="24"/>
                <w:u w:val="single"/>
              </w:rPr>
            </w:pPr>
            <w:r w:rsidRPr="008548FA">
              <w:rPr>
                <w:rFonts w:eastAsia="Calibri"/>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977" w:type="dxa"/>
            <w:shd w:val="clear" w:color="auto" w:fill="auto"/>
          </w:tcPr>
          <w:p w:rsidR="008548FA" w:rsidRPr="008548FA" w:rsidRDefault="008548FA" w:rsidP="008548FA">
            <w:pPr>
              <w:suppressAutoHyphens/>
              <w:spacing w:after="0" w:line="240" w:lineRule="auto"/>
              <w:rPr>
                <w:rFonts w:eastAsia="Calibri"/>
                <w:sz w:val="24"/>
              </w:rPr>
            </w:pPr>
            <w:r w:rsidRPr="008548FA">
              <w:rPr>
                <w:rFonts w:eastAsia="Calibri"/>
                <w:b/>
                <w:sz w:val="24"/>
                <w:u w:val="single"/>
              </w:rPr>
              <w:t>Знать:</w:t>
            </w:r>
          </w:p>
          <w:p w:rsidR="008548FA" w:rsidRPr="008548FA" w:rsidRDefault="008548FA" w:rsidP="008548FA">
            <w:pPr>
              <w:suppressAutoHyphens/>
              <w:spacing w:after="0" w:line="240" w:lineRule="auto"/>
              <w:rPr>
                <w:rFonts w:eastAsia="Calibri"/>
                <w:sz w:val="24"/>
              </w:rPr>
            </w:pPr>
            <w:r w:rsidRPr="008548FA">
              <w:rPr>
                <w:rFonts w:eastAsia="Calibri"/>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8548FA" w:rsidRPr="00A75EA1" w:rsidRDefault="008548FA" w:rsidP="008548FA">
            <w:pPr>
              <w:suppressAutoHyphens/>
              <w:spacing w:after="0" w:line="240" w:lineRule="auto"/>
            </w:pPr>
            <w:r w:rsidRPr="008548FA">
              <w:rPr>
                <w:rFonts w:eastAsia="Calibri"/>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tc>
        <w:tc>
          <w:tcPr>
            <w:tcW w:w="2268" w:type="dxa"/>
            <w:shd w:val="clear" w:color="auto" w:fill="auto"/>
          </w:tcPr>
          <w:p w:rsidR="008548FA" w:rsidRDefault="008548FA" w:rsidP="00A75EA1">
            <w:pPr>
              <w:pStyle w:val="ReportMain"/>
              <w:suppressAutoHyphens/>
            </w:pPr>
            <w:r>
              <w:rPr>
                <w:b/>
              </w:rPr>
              <w:t>Блок A –</w:t>
            </w:r>
            <w:r>
              <w:t xml:space="preserve"> задания репродуктивного уровня</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8548FA" w:rsidRPr="00A75EA1" w:rsidRDefault="008548FA"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u w:val="single"/>
              </w:rPr>
            </w:pPr>
          </w:p>
        </w:tc>
        <w:tc>
          <w:tcPr>
            <w:tcW w:w="2977" w:type="dxa"/>
            <w:shd w:val="clear" w:color="auto" w:fill="auto"/>
          </w:tcPr>
          <w:p w:rsidR="008548FA" w:rsidRPr="001154D2" w:rsidRDefault="008548FA" w:rsidP="001154D2">
            <w:pPr>
              <w:suppressAutoHyphens/>
              <w:spacing w:after="0" w:line="240" w:lineRule="auto"/>
              <w:jc w:val="both"/>
              <w:rPr>
                <w:rFonts w:eastAsia="Calibri"/>
                <w:sz w:val="24"/>
              </w:rPr>
            </w:pPr>
            <w:r w:rsidRPr="001154D2">
              <w:rPr>
                <w:rFonts w:eastAsia="Calibri"/>
                <w:b/>
                <w:sz w:val="24"/>
                <w:u w:val="single"/>
              </w:rPr>
              <w:t>Уметь:</w:t>
            </w:r>
          </w:p>
          <w:p w:rsidR="008548FA" w:rsidRPr="00A75EA1" w:rsidRDefault="008548FA"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268" w:type="dxa"/>
            <w:shd w:val="clear" w:color="auto" w:fill="auto"/>
          </w:tcPr>
          <w:p w:rsidR="008548FA" w:rsidRDefault="008548FA" w:rsidP="00A75EA1">
            <w:pPr>
              <w:pStyle w:val="ReportMain"/>
              <w:suppressAutoHyphens/>
            </w:pPr>
            <w:r>
              <w:rPr>
                <w:b/>
              </w:rPr>
              <w:t>Блок B –</w:t>
            </w:r>
            <w:r>
              <w:t xml:space="preserve"> задания реконструктивного уровня</w:t>
            </w:r>
          </w:p>
          <w:p w:rsidR="008548FA" w:rsidRPr="00A75EA1" w:rsidRDefault="008548FA"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szCs w:val="24"/>
                <w:u w:val="single"/>
              </w:rPr>
            </w:pPr>
          </w:p>
        </w:tc>
        <w:tc>
          <w:tcPr>
            <w:tcW w:w="2977" w:type="dxa"/>
            <w:shd w:val="clear" w:color="auto" w:fill="auto"/>
          </w:tcPr>
          <w:p w:rsidR="008548FA" w:rsidRPr="008548FA" w:rsidRDefault="008548FA" w:rsidP="008548FA">
            <w:pPr>
              <w:suppressAutoHyphens/>
              <w:spacing w:after="0" w:line="240" w:lineRule="auto"/>
              <w:rPr>
                <w:rFonts w:eastAsia="Calibri"/>
                <w:sz w:val="24"/>
                <w:szCs w:val="24"/>
              </w:rPr>
            </w:pPr>
            <w:r w:rsidRPr="008548FA">
              <w:rPr>
                <w:rFonts w:eastAsia="Calibri"/>
                <w:b/>
                <w:sz w:val="24"/>
                <w:szCs w:val="24"/>
                <w:u w:val="single"/>
              </w:rPr>
              <w:t>Владеть:</w:t>
            </w:r>
          </w:p>
          <w:p w:rsidR="008548FA" w:rsidRPr="00A75EA1" w:rsidRDefault="008548FA" w:rsidP="008548FA">
            <w:pPr>
              <w:pStyle w:val="ReportMain"/>
              <w:suppressAutoHyphens/>
              <w:jc w:val="both"/>
            </w:pPr>
            <w:r w:rsidRPr="008548FA">
              <w:rPr>
                <w:rFonts w:eastAsia="Calibri"/>
                <w:szCs w:val="24"/>
              </w:rPr>
              <w:t xml:space="preserve">различными формами, видами устной и письменной деловой коммуникации в учебной и профессиональной деятельности; </w:t>
            </w:r>
            <w:r w:rsidRPr="008548FA">
              <w:rPr>
                <w:rFonts w:eastAsia="Times New Roman"/>
                <w:color w:val="000000"/>
                <w:szCs w:val="24"/>
                <w:shd w:val="clear" w:color="auto" w:fill="FFFFFF"/>
              </w:rPr>
              <w:t xml:space="preserve">технологиями самостоятельной подготовки текстов различной жанрово-стилистической </w:t>
            </w:r>
            <w:r w:rsidRPr="008548FA">
              <w:rPr>
                <w:rFonts w:eastAsia="Times New Roman"/>
                <w:color w:val="000000"/>
                <w:szCs w:val="24"/>
                <w:shd w:val="clear" w:color="auto" w:fill="FFFFFF"/>
              </w:rPr>
              <w:lastRenderedPageBreak/>
              <w:t xml:space="preserve">принадлежности, </w:t>
            </w:r>
            <w:r w:rsidRPr="008548FA">
              <w:rPr>
                <w:rFonts w:eastAsia="Calibri"/>
                <w:szCs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268" w:type="dxa"/>
            <w:shd w:val="clear" w:color="auto" w:fill="auto"/>
          </w:tcPr>
          <w:p w:rsidR="008548FA" w:rsidRDefault="008548FA" w:rsidP="00A75EA1">
            <w:pPr>
              <w:pStyle w:val="ReportMain"/>
              <w:suppressAutoHyphens/>
            </w:pPr>
            <w:r>
              <w:rPr>
                <w:b/>
              </w:rPr>
              <w:lastRenderedPageBreak/>
              <w:t>Блок C –</w:t>
            </w:r>
            <w:r>
              <w:t xml:space="preserve"> задания практико-ориентированного и/или исследовательского уровня</w:t>
            </w:r>
          </w:p>
          <w:p w:rsidR="008548FA" w:rsidRPr="00A75EA1" w:rsidRDefault="008548FA"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lastRenderedPageBreak/>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lastRenderedPageBreak/>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жалю?зи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мизе?рный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обе?спечение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алкого?ль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бало?ванный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углу?бленный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позво?нит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диспа?нсер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туфля?х</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lastRenderedPageBreak/>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lastRenderedPageBreak/>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w:t>
      </w:r>
      <w:r w:rsidR="00EB3503">
        <w:rPr>
          <w:rFonts w:eastAsia="Times New Roman"/>
          <w:color w:val="000000"/>
          <w:sz w:val="28"/>
          <w:szCs w:val="28"/>
          <w:lang w:eastAsia="ru-RU"/>
        </w:rPr>
        <w:t>ая</w:t>
      </w:r>
      <w:r w:rsidRPr="00FA5891">
        <w:rPr>
          <w:rFonts w:eastAsia="Times New Roman"/>
          <w:color w:val="000000"/>
          <w:sz w:val="28"/>
          <w:szCs w:val="28"/>
          <w:lang w:eastAsia="ru-RU"/>
        </w:rPr>
        <w:t>, письменн</w:t>
      </w:r>
      <w:r w:rsidR="00EB3503">
        <w:rPr>
          <w:rFonts w:eastAsia="Times New Roman"/>
          <w:color w:val="000000"/>
          <w:sz w:val="28"/>
          <w:szCs w:val="28"/>
          <w:lang w:eastAsia="ru-RU"/>
        </w:rPr>
        <w:t>ая</w:t>
      </w:r>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lastRenderedPageBreak/>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lastRenderedPageBreak/>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развлекательные,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Выберите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lastRenderedPageBreak/>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lastRenderedPageBreak/>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lastRenderedPageBreak/>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w:t>
      </w:r>
      <w:proofErr w:type="spellEnd"/>
      <w:r w:rsidRPr="00FA5891">
        <w:rPr>
          <w:rFonts w:eastAsia="Times New Roman"/>
          <w:color w:val="000000"/>
          <w:sz w:val="28"/>
          <w:szCs w:val="28"/>
          <w:shd w:val="clear" w:color="auto" w:fill="FFFFFF"/>
          <w:lang w:eastAsia="ru-RU"/>
        </w:rPr>
        <w:t>-долженствующий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lastRenderedPageBreak/>
        <w:t xml:space="preserve">5.18 </w:t>
      </w:r>
      <w:r w:rsidRPr="00FA5891">
        <w:rPr>
          <w:color w:val="000000"/>
          <w:sz w:val="28"/>
          <w:szCs w:val="28"/>
          <w:shd w:val="clear" w:color="auto" w:fill="FFFFFF"/>
        </w:rPr>
        <w:t xml:space="preserve"> Отметьте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 xml:space="preserve">В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lastRenderedPageBreak/>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10"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11"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lastRenderedPageBreak/>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Р.п</w:t>
      </w:r>
      <w:proofErr w:type="spell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lastRenderedPageBreak/>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Составьте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EB3503">
        <w:tc>
          <w:tcPr>
            <w:tcW w:w="3520" w:type="dxa"/>
          </w:tcPr>
          <w:p w:rsidR="002B1867" w:rsidRPr="002B1867" w:rsidRDefault="002B1867" w:rsidP="002B1867">
            <w:pPr>
              <w:jc w:val="center"/>
              <w:rPr>
                <w:b/>
                <w:sz w:val="28"/>
                <w:szCs w:val="28"/>
              </w:rPr>
            </w:pPr>
            <w:r w:rsidRPr="002B1867">
              <w:rPr>
                <w:sz w:val="28"/>
                <w:szCs w:val="28"/>
                <w:shd w:val="clear" w:color="auto" w:fill="FFFFFF"/>
              </w:rPr>
              <w:lastRenderedPageBreak/>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От одного слова – да на век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lastRenderedPageBreak/>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ме. 8. Отец Сони Мармеладовой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lastRenderedPageBreak/>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w:t>
      </w:r>
      <w:r w:rsidRPr="002B1867">
        <w:rPr>
          <w:rFonts w:eastAsia="Times New Roman"/>
          <w:sz w:val="28"/>
          <w:szCs w:val="28"/>
        </w:rPr>
        <w:lastRenderedPageBreak/>
        <w:t>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норов,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w:t>
      </w:r>
      <w:r w:rsidRPr="002B1867">
        <w:rPr>
          <w:rFonts w:eastAsia="Times New Roman"/>
          <w:color w:val="000000"/>
          <w:sz w:val="28"/>
          <w:szCs w:val="28"/>
          <w:lang w:eastAsia="ru-RU"/>
        </w:rPr>
        <w:lastRenderedPageBreak/>
        <w:t xml:space="preserve">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1.7 </w:t>
      </w:r>
      <w:r w:rsidRPr="002B1867">
        <w:rPr>
          <w:rFonts w:eastAsia="Times New Roman"/>
          <w:bCs/>
          <w:color w:val="000000"/>
          <w:sz w:val="28"/>
          <w:szCs w:val="28"/>
          <w:lang w:eastAsia="ru-RU"/>
        </w:rPr>
        <w:t xml:space="preserve">Поразмышляйте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EB3503">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EB3503">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 xml:space="preserve">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lastRenderedPageBreak/>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Ну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девки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сделана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дну-ту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lastRenderedPageBreak/>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«ишь,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«сп</w:t>
      </w:r>
      <w:r w:rsidRPr="002B1867">
        <w:rPr>
          <w:rFonts w:eastAsia="Times New Roman"/>
          <w:sz w:val="28"/>
          <w:szCs w:val="28"/>
          <w:lang w:eastAsia="ru-RU"/>
        </w:rPr>
        <w:t>е</w:t>
      </w:r>
      <w:r w:rsidRPr="002B1867">
        <w:rPr>
          <w:rFonts w:eastAsia="Times New Roman"/>
          <w:sz w:val="28"/>
          <w:szCs w:val="28"/>
          <w:lang w:eastAsia="ru-RU"/>
        </w:rPr>
        <w:t>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lastRenderedPageBreak/>
        <w:t>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 xml:space="preserve">Перепишите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spellStart"/>
      <w:r w:rsidRPr="002B1867">
        <w:rPr>
          <w:b/>
          <w:bCs/>
          <w:color w:val="000000"/>
          <w:sz w:val="28"/>
          <w:szCs w:val="28"/>
        </w:rPr>
        <w:t>яблочн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lastRenderedPageBreak/>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 xml:space="preserve">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ческим термином. Описание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2B1867">
        <w:rPr>
          <w:rFonts w:eastAsia="Times New Roman"/>
          <w:color w:val="000000"/>
          <w:sz w:val="28"/>
          <w:szCs w:val="28"/>
          <w:lang w:eastAsia="ru-RU"/>
        </w:rPr>
        <w:lastRenderedPageBreak/>
        <w:t>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ными то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тинными: по крайней мере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lastRenderedPageBreak/>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w:t>
      </w:r>
      <w:r w:rsidRPr="002B1867">
        <w:rPr>
          <w:sz w:val="28"/>
          <w:szCs w:val="28"/>
        </w:rPr>
        <w:t>н</w:t>
      </w:r>
      <w:r w:rsidRPr="002B1867">
        <w:rPr>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 xml:space="preserve">ния штатной численности подразделения в связи со значительным увеличением </w:t>
      </w:r>
      <w:r w:rsidRPr="002B1867">
        <w:rPr>
          <w:rFonts w:eastAsia="Times New Roman"/>
          <w:sz w:val="28"/>
          <w:szCs w:val="28"/>
          <w:lang w:eastAsia="ru-RU"/>
        </w:rPr>
        <w:lastRenderedPageBreak/>
        <w:t>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 xml:space="preserve">Составьте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 xml:space="preserve">ского языка и речевые ошибки и недочеты / Под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высказывает свое отношение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lastRenderedPageBreak/>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да и всех народов, составляющих нашу страну. 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w:t>
      </w:r>
      <w:proofErr w:type="spellEnd"/>
      <w:r w:rsidRPr="002B1867">
        <w:rPr>
          <w:rFonts w:eastAsia="Times New Roman"/>
          <w:color w:val="000000"/>
          <w:sz w:val="28"/>
          <w:szCs w:val="28"/>
          <w:lang w:eastAsia="ru-RU"/>
        </w:rPr>
        <w:t>.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lastRenderedPageBreak/>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w:t>
      </w:r>
      <w:proofErr w:type="spellStart"/>
      <w:r w:rsidRPr="002B1867">
        <w:rPr>
          <w:rFonts w:eastAsia="Times New Roman"/>
          <w:color w:val="000000"/>
          <w:sz w:val="28"/>
          <w:szCs w:val="28"/>
          <w:lang w:eastAsia="ru-RU"/>
        </w:rPr>
        <w:t>палкою</w:t>
      </w:r>
      <w:proofErr w:type="spellEnd"/>
      <w:r w:rsidRPr="002B1867">
        <w:rPr>
          <w:rFonts w:eastAsia="Times New Roman"/>
          <w:color w:val="000000"/>
          <w:sz w:val="28"/>
          <w:szCs w:val="28"/>
          <w:lang w:eastAsia="ru-RU"/>
        </w:rPr>
        <w:t xml:space="preserve">,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lastRenderedPageBreak/>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но бегущую из трубы людской струю дыма и снова нагонял зловещие космы п</w:t>
      </w:r>
      <w:r w:rsidRPr="002B1867">
        <w:rPr>
          <w:rFonts w:eastAsia="Times New Roman"/>
          <w:color w:val="000000"/>
          <w:sz w:val="28"/>
          <w:szCs w:val="28"/>
          <w:lang w:eastAsia="ru-RU"/>
        </w:rPr>
        <w:t>е</w:t>
      </w:r>
      <w:r w:rsidRPr="002B1867">
        <w:rPr>
          <w:rFonts w:eastAsia="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ность, как радиация, постоянно убивает общество (А. Тулеев). 15. Неповторимость </w:t>
      </w:r>
      <w:r w:rsidRPr="002B1867">
        <w:rPr>
          <w:rFonts w:eastAsia="Times New Roman"/>
          <w:color w:val="000000"/>
          <w:sz w:val="28"/>
          <w:szCs w:val="28"/>
          <w:lang w:eastAsia="ru-RU"/>
        </w:rPr>
        <w:lastRenderedPageBreak/>
        <w:t>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lastRenderedPageBreak/>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lastRenderedPageBreak/>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EB3503">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 xml:space="preserve">нии студентами дисциплины являются последовательное изучение содержательно </w:t>
      </w:r>
      <w:r w:rsidRPr="002B1867">
        <w:rPr>
          <w:rFonts w:eastAsia="Times New Roman"/>
          <w:sz w:val="28"/>
          <w:szCs w:val="28"/>
          <w:lang w:eastAsia="ru-RU"/>
        </w:rPr>
        <w:lastRenderedPageBreak/>
        <w:t>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EB3503">
        <w:trPr>
          <w:tblHeader/>
        </w:trPr>
        <w:tc>
          <w:tcPr>
            <w:tcW w:w="642"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EB3503">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вать специальные термины и понятия, узнавание объектов </w:t>
            </w:r>
            <w:r w:rsidRPr="002B1867">
              <w:rPr>
                <w:rFonts w:eastAsia="Times New Roman"/>
                <w:color w:val="000000"/>
                <w:sz w:val="28"/>
                <w:szCs w:val="28"/>
                <w:shd w:val="clear" w:color="auto" w:fill="FFFFFF"/>
                <w:lang w:eastAsia="ru-RU" w:bidi="ru-RU"/>
              </w:rPr>
              <w:lastRenderedPageBreak/>
              <w:t>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EB3503">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EB3503">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EB3503">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EB3503">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 xml:space="preserve">даний включает 40 вопросов. </w:t>
            </w:r>
            <w:r w:rsidRPr="002B1867">
              <w:rPr>
                <w:rFonts w:eastAsia="Calibri"/>
                <w:sz w:val="28"/>
                <w:szCs w:val="28"/>
              </w:rPr>
              <w:lastRenderedPageBreak/>
              <w:t>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EB3503">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EB3503">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EB3503">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 xml:space="preserve">гией, проявлено </w:t>
            </w:r>
            <w:r w:rsidRPr="002B1867">
              <w:rPr>
                <w:rFonts w:eastAsia="Times New Roman"/>
                <w:sz w:val="24"/>
                <w:szCs w:val="24"/>
                <w:lang w:eastAsia="ru-RU"/>
              </w:rPr>
              <w:lastRenderedPageBreak/>
              <w:t>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 xml:space="preserve">ки изложения материала, но </w:t>
            </w:r>
            <w:r w:rsidRPr="002B1867">
              <w:rPr>
                <w:rFonts w:eastAsia="Times New Roman"/>
                <w:sz w:val="24"/>
                <w:szCs w:val="24"/>
                <w:lang w:eastAsia="ru-RU"/>
              </w:rPr>
              <w:lastRenderedPageBreak/>
              <w:t>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 xml:space="preserve">ческого занятия (семинара), </w:t>
            </w: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lastRenderedPageBreak/>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EB3503">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EB3503">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ставляется, если не способен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 xml:space="preserve">просу, не способен </w:t>
            </w:r>
            <w:r w:rsidRPr="002B1867">
              <w:rPr>
                <w:sz w:val="24"/>
                <w:szCs w:val="24"/>
              </w:rPr>
              <w:lastRenderedPageBreak/>
              <w:t>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2"/>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4F" w:rsidRDefault="0053544F" w:rsidP="00A75EA1">
      <w:pPr>
        <w:spacing w:after="0" w:line="240" w:lineRule="auto"/>
      </w:pPr>
      <w:r>
        <w:separator/>
      </w:r>
    </w:p>
  </w:endnote>
  <w:endnote w:type="continuationSeparator" w:id="0">
    <w:p w:rsidR="0053544F" w:rsidRDefault="0053544F"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03" w:rsidRPr="00A75EA1" w:rsidRDefault="00EB3503"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8769C">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4F" w:rsidRDefault="0053544F" w:rsidP="00A75EA1">
      <w:pPr>
        <w:spacing w:after="0" w:line="240" w:lineRule="auto"/>
      </w:pPr>
      <w:r>
        <w:separator/>
      </w:r>
    </w:p>
  </w:footnote>
  <w:footnote w:type="continuationSeparator" w:id="0">
    <w:p w:rsidR="0053544F" w:rsidRDefault="0053544F"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072E4"/>
    <w:rsid w:val="001154D2"/>
    <w:rsid w:val="002B1867"/>
    <w:rsid w:val="002D496B"/>
    <w:rsid w:val="002F4FBA"/>
    <w:rsid w:val="003326DF"/>
    <w:rsid w:val="00333FF1"/>
    <w:rsid w:val="003C3B01"/>
    <w:rsid w:val="004253DF"/>
    <w:rsid w:val="00443C37"/>
    <w:rsid w:val="0048769C"/>
    <w:rsid w:val="004972FE"/>
    <w:rsid w:val="0050523E"/>
    <w:rsid w:val="0053544F"/>
    <w:rsid w:val="00544B44"/>
    <w:rsid w:val="00546304"/>
    <w:rsid w:val="006C12F8"/>
    <w:rsid w:val="006D53D9"/>
    <w:rsid w:val="008548FA"/>
    <w:rsid w:val="00A75EA1"/>
    <w:rsid w:val="00B133B3"/>
    <w:rsid w:val="00C723CB"/>
    <w:rsid w:val="00E27E92"/>
    <w:rsid w:val="00E757E5"/>
    <w:rsid w:val="00EB3503"/>
    <w:rsid w:val="00EC5AF5"/>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ocal.rudn.ru/web-local/uem/ido/6/rlang/rl1.html" TargetMode="External"/><Relationship Id="rId5" Type="http://schemas.openxmlformats.org/officeDocument/2006/relationships/settings" Target="settings.xml"/><Relationship Id="rId10" Type="http://schemas.openxmlformats.org/officeDocument/2006/relationships/hyperlink" Target="http://www.langust.ru/review/lang_h02.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34E6-81A3-4DC2-8D6B-EFB4012A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67</Pages>
  <Words>22867</Words>
  <Characters>130346</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14</cp:revision>
  <dcterms:created xsi:type="dcterms:W3CDTF">2019-11-01T08:58:00Z</dcterms:created>
  <dcterms:modified xsi:type="dcterms:W3CDTF">2023-09-12T18:11:00Z</dcterms:modified>
</cp:coreProperties>
</file>