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163EC" w:rsidRPr="006163EC">
        <w:rPr>
          <w:rFonts w:ascii="Times New Roman" w:hAnsi="Times New Roman" w:cs="Times New Roman"/>
          <w:sz w:val="28"/>
          <w:szCs w:val="28"/>
        </w:rPr>
        <w:t>7</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9D55E4">
        <w:rPr>
          <w:rFonts w:ascii="Times New Roman" w:eastAsia="Calibri" w:hAnsi="Times New Roman" w:cs="Times New Roman"/>
          <w:sz w:val="28"/>
          <w:szCs w:val="20"/>
          <w:lang w:eastAsia="en-US"/>
        </w:rPr>
        <w:t>узулук</w:t>
      </w:r>
      <w:proofErr w:type="gramStart"/>
      <w:r w:rsidR="009D55E4">
        <w:rPr>
          <w:rFonts w:ascii="Times New Roman" w:eastAsia="Calibri" w:hAnsi="Times New Roman" w:cs="Times New Roman"/>
          <w:sz w:val="28"/>
          <w:szCs w:val="20"/>
          <w:lang w:eastAsia="en-US"/>
        </w:rPr>
        <w:t xml:space="preserve"> :</w:t>
      </w:r>
      <w:proofErr w:type="gramEnd"/>
      <w:r w:rsidR="009D55E4">
        <w:rPr>
          <w:rFonts w:ascii="Times New Roman" w:eastAsia="Calibri" w:hAnsi="Times New Roman" w:cs="Times New Roman"/>
          <w:sz w:val="28"/>
          <w:szCs w:val="20"/>
          <w:lang w:eastAsia="en-US"/>
        </w:rPr>
        <w:t xml:space="preserve"> БГТИ (филиал) ОГУ, 201</w:t>
      </w:r>
      <w:r w:rsidR="009D55E4" w:rsidRPr="009D55E4">
        <w:rPr>
          <w:rFonts w:ascii="Times New Roman" w:eastAsia="Calibri" w:hAnsi="Times New Roman" w:cs="Times New Roman"/>
          <w:sz w:val="28"/>
          <w:szCs w:val="20"/>
          <w:lang w:eastAsia="en-US"/>
        </w:rPr>
        <w:t>7</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D12EA4">
        <w:rPr>
          <w:rFonts w:ascii="Times New Roman" w:eastAsia="Calibri" w:hAnsi="Times New Roman" w:cs="Times New Roman"/>
          <w:sz w:val="28"/>
          <w:szCs w:val="28"/>
          <w:lang w:eastAsia="en-US"/>
        </w:rPr>
        <w:t>– 2</w:t>
      </w:r>
      <w:r w:rsidR="00D12EA4" w:rsidRPr="00E62760">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E62760" w:rsidRPr="00072B5C" w:rsidRDefault="00E62760" w:rsidP="00E6276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E62760" w:rsidRPr="00DD6CE2" w:rsidRDefault="00E62760" w:rsidP="00E6276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E62760" w:rsidRPr="00DD6CE2" w:rsidRDefault="00E62760" w:rsidP="00E6276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62760" w:rsidRPr="00DD6CE2" w:rsidRDefault="00E62760" w:rsidP="00E62760">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70" w:rsidRDefault="00B63170" w:rsidP="00382D68">
      <w:pPr>
        <w:spacing w:after="0" w:line="240" w:lineRule="auto"/>
      </w:pPr>
      <w:r>
        <w:separator/>
      </w:r>
    </w:p>
  </w:endnote>
  <w:endnote w:type="continuationSeparator" w:id="0">
    <w:p w:rsidR="00B63170" w:rsidRDefault="00B6317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E6276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70" w:rsidRDefault="00B63170" w:rsidP="00382D68">
      <w:pPr>
        <w:spacing w:after="0" w:line="240" w:lineRule="auto"/>
      </w:pPr>
      <w:r>
        <w:separator/>
      </w:r>
    </w:p>
  </w:footnote>
  <w:footnote w:type="continuationSeparator" w:id="0">
    <w:p w:rsidR="00B63170" w:rsidRDefault="00B6317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D5694"/>
    <w:rsid w:val="00CE3671"/>
    <w:rsid w:val="00CF2622"/>
    <w:rsid w:val="00D00459"/>
    <w:rsid w:val="00D12EA4"/>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2760"/>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223A-8ABC-4A53-9823-B857FA4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6274</Words>
  <Characters>46559</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2019-11-18T10:59:00Z</dcterms:modified>
</cp:coreProperties>
</file>