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федерального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1A4297" w:rsidRPr="001C4B39" w:rsidRDefault="001A4297" w:rsidP="001C4B39">
      <w:pPr>
        <w:keepNext/>
        <w:suppressLineNumbers/>
        <w:spacing w:after="0" w:line="240" w:lineRule="auto"/>
        <w:jc w:val="center"/>
        <w:outlineLvl w:val="3"/>
        <w:rPr>
          <w:rFonts w:ascii="Times New Roman" w:hAnsi="Times New Roman" w:cs="Times New Roman"/>
          <w:i/>
          <w:sz w:val="28"/>
          <w:szCs w:val="28"/>
        </w:rPr>
      </w:pPr>
      <w:r w:rsidRPr="001C4B39">
        <w:rPr>
          <w:rFonts w:ascii="Times New Roman" w:hAnsi="Times New Roman" w:cs="Times New Roman"/>
          <w:sz w:val="28"/>
          <w:szCs w:val="28"/>
        </w:rPr>
        <w:t xml:space="preserve">Кафедра </w:t>
      </w:r>
      <w:r w:rsidRPr="001C4B39">
        <w:rPr>
          <w:rFonts w:ascii="Times New Roman" w:hAnsi="Times New Roman" w:cs="Times New Roman"/>
          <w:i/>
          <w:sz w:val="28"/>
          <w:szCs w:val="28"/>
        </w:rPr>
        <w:t>«</w:t>
      </w:r>
      <w:r w:rsidR="00B0239C" w:rsidRPr="001C4B39">
        <w:rPr>
          <w:rFonts w:ascii="Times New Roman" w:hAnsi="Times New Roman" w:cs="Times New Roman"/>
          <w:i/>
          <w:sz w:val="28"/>
          <w:szCs w:val="28"/>
        </w:rPr>
        <w:t>Общая инженерия</w:t>
      </w:r>
      <w:r w:rsidRPr="001C4B39">
        <w:rPr>
          <w:rFonts w:ascii="Times New Roman" w:hAnsi="Times New Roman" w:cs="Times New Roman"/>
          <w:i/>
          <w:sz w:val="28"/>
          <w:szCs w:val="28"/>
        </w:rPr>
        <w:t>»</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1A4297" w:rsidP="001C4B39">
      <w:pPr>
        <w:spacing w:after="0" w:line="240" w:lineRule="auto"/>
        <w:jc w:val="center"/>
        <w:rPr>
          <w:rFonts w:ascii="Times New Roman" w:hAnsi="Times New Roman" w:cs="Times New Roman"/>
          <w:i/>
          <w:sz w:val="28"/>
          <w:szCs w:val="28"/>
        </w:rPr>
      </w:pPr>
      <w:r w:rsidRPr="001C4B39">
        <w:rPr>
          <w:rFonts w:ascii="Times New Roman" w:hAnsi="Times New Roman" w:cs="Times New Roman"/>
          <w:i/>
          <w:sz w:val="28"/>
          <w:szCs w:val="28"/>
        </w:rPr>
        <w:t>А.О. Шустерман</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Программа академического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32142F" w:rsidP="001C4B39">
      <w:pPr>
        <w:pStyle w:val="ReportHead"/>
        <w:suppressAutoHyphens/>
        <w:rPr>
          <w:i/>
          <w:u w:val="single"/>
        </w:rPr>
      </w:pPr>
      <w:bookmarkStart w:id="0" w:name="BookmarkWhereDelChr13"/>
      <w:bookmarkEnd w:id="0"/>
      <w:r>
        <w:rPr>
          <w:i/>
          <w:u w:val="single"/>
        </w:rPr>
        <w:t>О</w:t>
      </w:r>
      <w:r w:rsidR="009A3C30" w:rsidRPr="001C4B39">
        <w:rPr>
          <w:i/>
          <w:u w:val="single"/>
        </w:rPr>
        <w:t>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r w:rsidRPr="001C4B39">
        <w:rPr>
          <w:rFonts w:ascii="Times New Roman" w:hAnsi="Times New Roman" w:cs="Times New Roman"/>
          <w:sz w:val="28"/>
          <w:szCs w:val="28"/>
        </w:rPr>
        <w:t>Бузулук 201</w:t>
      </w:r>
      <w:r w:rsidR="00986C34">
        <w:rPr>
          <w:rFonts w:ascii="Times New Roman" w:hAnsi="Times New Roman" w:cs="Times New Roman"/>
          <w:sz w:val="28"/>
          <w:szCs w:val="28"/>
        </w:rPr>
        <w:t>7</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986C34">
        <w:rPr>
          <w:rFonts w:ascii="Times New Roman" w:hAnsi="Times New Roman" w:cs="Times New Roman"/>
          <w:sz w:val="28"/>
          <w:szCs w:val="28"/>
        </w:rPr>
        <w:t>7</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334770" w:rsidRPr="001C4B39">
        <w:rPr>
          <w:rFonts w:ascii="Times New Roman" w:eastAsia="Times New Roman" w:hAnsi="Times New Roman" w:cs="Times New Roman"/>
          <w:sz w:val="28"/>
          <w:szCs w:val="28"/>
        </w:rPr>
        <w:t>А.О. Шустерман</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«___»______________201</w:t>
      </w:r>
      <w:r w:rsidR="00986C34">
        <w:rPr>
          <w:rFonts w:ascii="Times New Roman" w:eastAsia="Times New Roman" w:hAnsi="Times New Roman" w:cs="Times New Roman"/>
          <w:sz w:val="28"/>
          <w:szCs w:val="28"/>
        </w:rPr>
        <w:t>7</w:t>
      </w:r>
      <w:r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0032142F">
        <w:rPr>
          <w:szCs w:val="28"/>
        </w:rPr>
        <w:t>о</w:t>
      </w:r>
      <w:r w:rsidRPr="001C4B39">
        <w:rPr>
          <w:szCs w:val="28"/>
        </w:rPr>
        <w:t>чного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Методические указания для обучающихся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lastRenderedPageBreak/>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1" w:name="_Toc1595873"/>
      <w:r w:rsidRPr="001C4B39">
        <w:rPr>
          <w:szCs w:val="28"/>
        </w:rPr>
        <w:t>1 Виды работы студентов</w:t>
      </w:r>
      <w:bookmarkEnd w:id="1"/>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2" w:name="_Toc1595874"/>
      <w:r w:rsidRPr="001C4B39">
        <w:rPr>
          <w:szCs w:val="28"/>
        </w:rPr>
        <w:t>2 Основные виды работы студентов и особенности их проведения при изучении данного курса</w:t>
      </w:r>
      <w:bookmarkEnd w:id="2"/>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изучения нового материала, мало связанного с ранее изученным;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прорешайте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4F0DDD" w:rsidRDefault="004F0DDD" w:rsidP="004F0DDD">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4F0DDD" w:rsidRDefault="004F0DDD" w:rsidP="004F0DDD">
      <w:pPr>
        <w:pStyle w:val="TableParagraph"/>
        <w:spacing w:line="240" w:lineRule="auto"/>
        <w:ind w:left="0" w:firstLine="721"/>
        <w:jc w:val="both"/>
        <w:rPr>
          <w:b/>
          <w:sz w:val="28"/>
        </w:rPr>
      </w:pPr>
    </w:p>
    <w:p w:rsidR="004F0DDD" w:rsidRDefault="004F0DDD" w:rsidP="004F0DDD">
      <w:pPr>
        <w:pStyle w:val="TableParagraph"/>
        <w:spacing w:line="240" w:lineRule="auto"/>
        <w:ind w:left="0" w:firstLine="721"/>
        <w:jc w:val="both"/>
        <w:rPr>
          <w:b/>
          <w:sz w:val="28"/>
          <w:szCs w:val="28"/>
        </w:rPr>
      </w:pP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4F0DDD" w:rsidRDefault="004F0DDD" w:rsidP="004F0DDD">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4F0DDD" w:rsidRDefault="004F0DDD" w:rsidP="004F0DDD">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молионная (электрофоретическая) проводимость, когда ток переносят заряженные молекулы или группы молекул.</w:t>
      </w:r>
    </w:p>
    <w:p w:rsidR="004F0DDD" w:rsidRDefault="004F0DDD" w:rsidP="004F0DDD">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4F0DDD" w:rsidRDefault="004F0DDD" w:rsidP="004F0DDD">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(ионогенных)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 Е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r>
        <w:rPr>
          <w:rFonts w:ascii="Times New Roman" w:hAnsi="Times New Roman" w:cs="Times New Roman"/>
          <w:sz w:val="28"/>
          <w:szCs w:val="28"/>
          <w:lang w:val="en-US"/>
        </w:rPr>
        <w:t>i</w:t>
      </w:r>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sidRPr="004F0DDD">
        <w:rPr>
          <w:rFonts w:ascii="Times New Roman" w:hAnsi="Times New Roman" w:cs="Times New Roman"/>
          <w:caps/>
          <w:sz w:val="28"/>
          <w:szCs w:val="28"/>
          <w:vertAlign w:val="subscript"/>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sidRPr="004F0DDD">
        <w:rPr>
          <w:rFonts w:ascii="Times New Roman" w:hAnsi="Times New Roman" w:cs="Times New Roman"/>
          <w:noProof/>
          <w:sz w:val="28"/>
          <w:szCs w:val="28"/>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4F0DDD" w:rsidRDefault="004F0DDD" w:rsidP="004F0DDD">
      <w:pPr>
        <w:widowControl w:val="0"/>
        <w:spacing w:after="0" w:line="240" w:lineRule="auto"/>
        <w:ind w:firstLine="709"/>
        <w:jc w:val="both"/>
        <w:rPr>
          <w:rFonts w:ascii="Times New Roman" w:hAnsi="Times New Roman" w:cs="Times New Roman"/>
          <w:sz w:val="28"/>
          <w:szCs w:val="28"/>
        </w:rPr>
      </w:pP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0" o:title=""/>
          </v:shape>
          <o:OLEObject Type="Embed" ProgID="Equation.3" ShapeID="_x0000_i1025" DrawAspect="Content" ObjectID="_1640503664" r:id="rId11"/>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2" o:title=""/>
          </v:shape>
          <o:OLEObject Type="Embed" ProgID="Equation.3" ShapeID="_x0000_i1026" DrawAspect="Content" ObjectID="_1640503665" r:id="rId13"/>
        </w:object>
      </w:r>
      <w:r>
        <w:rPr>
          <w:rFonts w:ascii="Times New Roman" w:hAnsi="Times New Roman" w:cs="Times New Roman"/>
          <w:sz w:val="28"/>
          <w:szCs w:val="28"/>
        </w:rPr>
        <w:t xml:space="preserve">                                            (2)</w:t>
      </w:r>
    </w:p>
    <w:p w:rsidR="004F0DDD" w:rsidRDefault="004F0DDD" w:rsidP="004F0DD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sidRPr="004F0DDD">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lang w:val="en-US"/>
        </w:rPr>
        <w:t>kT</w:t>
      </w:r>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энергия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r>
        <w:rPr>
          <w:rFonts w:ascii="Times New Roman" w:hAnsi="Times New Roman" w:cs="Times New Roman"/>
          <w:sz w:val="28"/>
          <w:szCs w:val="28"/>
          <w:lang w:val="en-US"/>
        </w:rPr>
        <w:t>lg</w:t>
      </w:r>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4F0DDD" w:rsidRDefault="004F0DDD" w:rsidP="004F0DDD">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м], а удельное повефрхностное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20°С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r>
        <w:rPr>
          <w:rFonts w:ascii="Times New Roman" w:hAnsi="Times New Roman" w:cs="Times New Roman"/>
          <w:sz w:val="28"/>
          <w:szCs w:val="28"/>
        </w:rPr>
        <w:lastRenderedPageBreak/>
        <w:t>диссоциируют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r>
        <w:rPr>
          <w:rFonts w:ascii="Times New Roman" w:hAnsi="Times New Roman" w:cs="Times New Roman"/>
          <w:bCs/>
          <w:iCs/>
          <w:sz w:val="28"/>
          <w:szCs w:val="28"/>
        </w:rPr>
        <w:t>гидрофобна</w:t>
      </w:r>
      <w:r>
        <w:rPr>
          <w:rFonts w:ascii="Times New Roman" w:hAnsi="Times New Roman" w:cs="Times New Roman"/>
          <w:sz w:val="28"/>
          <w:szCs w:val="28"/>
        </w:rPr>
        <w:t>.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Достаточно тончайшего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20°С, начиная с 30% относительной влажности воздуха.</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0,3 нм</w:t>
      </w:r>
      <w:r>
        <w:rPr>
          <w:rFonts w:ascii="Times New Roman" w:hAnsi="Times New Roman" w:cs="Times New Roman"/>
          <w:sz w:val="28"/>
          <w:szCs w:val="28"/>
        </w:rPr>
        <w:t>, то она способна диффундировать практически во все материалы. Межмолекулярная пористость различных веществ   колеблется   в   пределах 1–5 нм, а внутримолекулярная пористость может достигать 1 нм.</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целый ряд показателей, позволяющих оценить количество поглощенной материалом влаги: влагопроницаемость, влагопоглощаемость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Лучшей влагостойкостью обладают неорганические материалы: вакуумплотная керамика, глазурованный фарфор, бесщелочное стекло, и т.п. Пористые же неорганические материалы, например. асбест, мрамор, пористая керамика, а также композиционные материалы типа слюдопластов и т.п., поглощают много воды и резко снижают в связи с этим в процессе эксплуатации свои электроизоляционные характеристики.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(тефлон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лакобумага, гетинакс,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4F0DDD" w:rsidRDefault="004F0DDD" w:rsidP="004F0DDD">
      <w:pPr>
        <w:pStyle w:val="51"/>
        <w:ind w:left="0" w:firstLine="709"/>
        <w:rPr>
          <w:sz w:val="28"/>
          <w:szCs w:val="28"/>
        </w:rPr>
      </w:pPr>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октол), </w:t>
      </w:r>
    </w:p>
    <w:p w:rsidR="004F0DDD" w:rsidRDefault="004F0DDD" w:rsidP="004F0DDD">
      <w:pPr>
        <w:pStyle w:val="af5"/>
        <w:tabs>
          <w:tab w:val="decimal" w:pos="-1701"/>
        </w:tabs>
        <w:spacing w:after="0"/>
        <w:jc w:val="both"/>
        <w:rPr>
          <w:sz w:val="28"/>
          <w:szCs w:val="28"/>
        </w:rPr>
      </w:pPr>
      <w:r>
        <w:rPr>
          <w:sz w:val="28"/>
          <w:szCs w:val="28"/>
        </w:rPr>
        <w:t>твердые   (парафин,    церезин,    полиэтилен,     политетрафторэтилен    и   др.).</w:t>
      </w:r>
    </w:p>
    <w:p w:rsidR="004F0DDD" w:rsidRDefault="004F0DDD" w:rsidP="004F0DDD">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4F0DDD" w:rsidRDefault="004F0DDD" w:rsidP="004F0DDD">
      <w:pPr>
        <w:pStyle w:val="TableParagraph"/>
        <w:spacing w:line="240" w:lineRule="auto"/>
        <w:ind w:left="0" w:firstLine="721"/>
        <w:rPr>
          <w:b/>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рост сквозного тока, завершающийся образованием проводящего канала пробоя в диэлектрике. </w:t>
      </w:r>
    </w:p>
    <w:p w:rsidR="004F0DDD" w:rsidRDefault="004F0DDD" w:rsidP="004F0DDD">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соответствующая напряженность электрического поля – электрической прочностью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В некоторых случаях при напряжении более низком,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4F0DDD" w:rsidRDefault="004F0DDD" w:rsidP="004F0DDD">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Е</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меньше, чем Е</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Отношение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b/>
          <w:sz w:val="28"/>
          <w:szCs w:val="28"/>
        </w:rPr>
      </w:pPr>
    </w:p>
    <w:p w:rsidR="004F0DDD" w:rsidRDefault="004F0DDD" w:rsidP="004F0DDD">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4F0DDD" w:rsidRDefault="004F0DDD" w:rsidP="004F0DDD">
      <w:pPr>
        <w:pStyle w:val="af3"/>
        <w:shd w:val="clear" w:color="auto" w:fill="FFFFFF"/>
        <w:spacing w:before="0" w:beforeAutospacing="0" w:after="0" w:afterAutospacing="0"/>
        <w:ind w:right="-1" w:firstLine="709"/>
        <w:jc w:val="both"/>
        <w:rPr>
          <w:b/>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4F0DDD" w:rsidRDefault="004F0DDD" w:rsidP="004F0DDD">
      <w:pPr>
        <w:spacing w:after="0" w:line="240" w:lineRule="auto"/>
        <w:ind w:firstLine="567"/>
        <w:jc w:val="both"/>
        <w:rPr>
          <w:rFonts w:ascii="Times New Roman" w:eastAsia="Times New Roman" w:hAnsi="Times New Roman" w:cs="Times New Roman"/>
          <w:bCs/>
          <w:sz w:val="28"/>
          <w:szCs w:val="28"/>
        </w:rPr>
      </w:pPr>
    </w:p>
    <w:p w:rsidR="004F0DDD" w:rsidRDefault="004F0DDD" w:rsidP="004F0DDD">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4F0DDD" w:rsidRDefault="004F0DDD" w:rsidP="004F0DDD">
      <w:pPr>
        <w:pStyle w:val="af3"/>
        <w:shd w:val="clear" w:color="auto" w:fill="FFFFFF"/>
        <w:spacing w:before="0" w:beforeAutospacing="0" w:after="0" w:afterAutospacing="0"/>
        <w:ind w:right="-1" w:firstLine="709"/>
        <w:rPr>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bookmarkStart w:id="3" w:name="_GoBack"/>
      <w:bookmarkEnd w:id="3"/>
    </w:p>
    <w:sectPr w:rsidR="00587B18"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D1" w:rsidRDefault="008474D1" w:rsidP="00382D68">
      <w:pPr>
        <w:spacing w:after="0" w:line="240" w:lineRule="auto"/>
      </w:pPr>
      <w:r>
        <w:separator/>
      </w:r>
    </w:p>
  </w:endnote>
  <w:endnote w:type="continuationSeparator" w:id="0">
    <w:p w:rsidR="008474D1" w:rsidRDefault="008474D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4F0DDD">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D1" w:rsidRDefault="008474D1" w:rsidP="00382D68">
      <w:pPr>
        <w:spacing w:after="0" w:line="240" w:lineRule="auto"/>
      </w:pPr>
      <w:r>
        <w:separator/>
      </w:r>
    </w:p>
  </w:footnote>
  <w:footnote w:type="continuationSeparator" w:id="0">
    <w:p w:rsidR="008474D1" w:rsidRDefault="008474D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673FE"/>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2142F"/>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499B"/>
    <w:rsid w:val="004169A8"/>
    <w:rsid w:val="00417F6A"/>
    <w:rsid w:val="00434C52"/>
    <w:rsid w:val="00447C2E"/>
    <w:rsid w:val="00467015"/>
    <w:rsid w:val="00481689"/>
    <w:rsid w:val="004A15B0"/>
    <w:rsid w:val="004A7FBF"/>
    <w:rsid w:val="004D3AD2"/>
    <w:rsid w:val="004D6DBA"/>
    <w:rsid w:val="004E1D33"/>
    <w:rsid w:val="004F0DDD"/>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474D1"/>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86C34"/>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D0814"/>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494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81506064">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41099584">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5995-F5F6-44E2-A448-0BDFE09A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32</cp:revision>
  <cp:lastPrinted>2019-03-03T07:50:00Z</cp:lastPrinted>
  <dcterms:created xsi:type="dcterms:W3CDTF">2017-09-05T11:04:00Z</dcterms:created>
  <dcterms:modified xsi:type="dcterms:W3CDTF">2020-01-14T12:41:00Z</dcterms:modified>
</cp:coreProperties>
</file>