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C835DE">
      <w:pPr>
        <w:pStyle w:val="ReportHead"/>
        <w:suppressAutoHyphens/>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C835DE"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AD0D72">
        <w:rPr>
          <w:szCs w:val="28"/>
        </w:rPr>
        <w:t xml:space="preserve"> 2018</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 : БГТИ (филиал) ОГУ, 20</w:t>
      </w:r>
      <w:r w:rsidR="00AD0D72">
        <w:rPr>
          <w:rFonts w:ascii="Times New Roman" w:hAnsi="Times New Roman"/>
          <w:sz w:val="28"/>
          <w:szCs w:val="20"/>
        </w:rPr>
        <w:t>18</w:t>
      </w:r>
      <w:r w:rsidRPr="000801BE">
        <w:rPr>
          <w:rFonts w:ascii="Times New Roman" w:hAnsi="Times New Roman"/>
          <w:sz w:val="28"/>
          <w:szCs w:val="20"/>
        </w:rPr>
        <w:t>.</w:t>
      </w:r>
      <w:r w:rsidRPr="00D3115B">
        <w:rPr>
          <w:sz w:val="28"/>
          <w:szCs w:val="28"/>
        </w:rPr>
        <w:t xml:space="preserve"> </w:t>
      </w:r>
      <w:r w:rsidR="00C835DE">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w:t>
      </w:r>
      <w:r w:rsidR="00C835DE" w:rsidRPr="00F52A3B">
        <w:rPr>
          <w:rFonts w:ascii="Times New Roman" w:hAnsi="Times New Roman"/>
          <w:sz w:val="28"/>
          <w:szCs w:val="28"/>
        </w:rPr>
        <w:t xml:space="preserve"> Методические указания к </w:t>
      </w:r>
      <w:r w:rsidR="00C835DE">
        <w:rPr>
          <w:rFonts w:ascii="Times New Roman" w:hAnsi="Times New Roman"/>
          <w:sz w:val="28"/>
          <w:szCs w:val="28"/>
        </w:rPr>
        <w:t xml:space="preserve">рубежному контролю </w:t>
      </w:r>
      <w:r w:rsidR="00BC214C">
        <w:rPr>
          <w:rFonts w:ascii="Times New Roman" w:hAnsi="Times New Roman"/>
          <w:sz w:val="28"/>
          <w:szCs w:val="28"/>
        </w:rPr>
        <w:t>……</w:t>
      </w:r>
      <w:r w:rsidR="00C835DE">
        <w:rPr>
          <w:rFonts w:ascii="Times New Roman" w:hAnsi="Times New Roman"/>
          <w:sz w:val="28"/>
          <w:szCs w:val="28"/>
        </w:rPr>
        <w:t>…………..</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C835DE">
        <w:rPr>
          <w:rFonts w:ascii="Times New Roman" w:hAnsi="Times New Roman"/>
          <w:sz w:val="28"/>
          <w:szCs w:val="28"/>
        </w:rPr>
        <w:t>12</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C835DE" w:rsidRPr="00F4464B" w:rsidRDefault="00C835DE" w:rsidP="00641753">
            <w:pPr>
              <w:pStyle w:val="ReportMain0"/>
              <w:suppressAutoHyphens/>
              <w:rPr>
                <w:i/>
                <w:sz w:val="28"/>
                <w:szCs w:val="28"/>
              </w:rPr>
            </w:pPr>
            <w:r>
              <w:rPr>
                <w:i/>
                <w:sz w:val="28"/>
                <w:szCs w:val="28"/>
              </w:rPr>
              <w:t>- подготовка к рубежному контролю;</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C835DE">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C835DE" w:rsidRPr="008212CD" w:rsidRDefault="00C835DE" w:rsidP="00C835DE">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w:t>
      </w:r>
      <w:r>
        <w:rPr>
          <w:rFonts w:ascii="Times New Roman" w:hAnsi="Times New Roman"/>
          <w:b/>
          <w:sz w:val="28"/>
          <w:szCs w:val="28"/>
        </w:rPr>
        <w:t>рубежному контролю</w:t>
      </w:r>
    </w:p>
    <w:p w:rsidR="00C835DE" w:rsidRDefault="00C835DE" w:rsidP="00C835DE">
      <w:pPr>
        <w:pStyle w:val="a3"/>
        <w:jc w:val="both"/>
        <w:rPr>
          <w:b/>
          <w:szCs w:val="28"/>
        </w:rPr>
      </w:pPr>
    </w:p>
    <w:p w:rsidR="00C835DE" w:rsidRPr="00A556D2" w:rsidRDefault="00C835DE" w:rsidP="00C835DE">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лекционное</w:t>
      </w:r>
      <w:proofErr w:type="gramEnd"/>
      <w:r w:rsidRPr="00A556D2">
        <w:rPr>
          <w:rFonts w:eastAsia="Calibri"/>
          <w:szCs w:val="28"/>
          <w:lang w:eastAsia="en-US"/>
        </w:rPr>
        <w:t>, практическое, лабораторное,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C835DE" w:rsidRDefault="00C835DE" w:rsidP="00C835DE">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91F84" w:rsidRPr="008212CD" w:rsidRDefault="00D91F84" w:rsidP="00C835DE">
      <w:pPr>
        <w:pStyle w:val="a3"/>
        <w:ind w:firstLine="0"/>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lastRenderedPageBreak/>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lastRenderedPageBreak/>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C835DE" w:rsidRDefault="00C835DE" w:rsidP="00D91F84">
      <w:pPr>
        <w:pStyle w:val="a3"/>
        <w:jc w:val="both"/>
      </w:pPr>
    </w:p>
    <w:p w:rsidR="00C835DE" w:rsidRDefault="00C835DE"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lastRenderedPageBreak/>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lastRenderedPageBreak/>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B67932" w:rsidRPr="005328DC" w:rsidRDefault="00B67932" w:rsidP="005328DC">
      <w:pPr>
        <w:jc w:val="both"/>
        <w:rPr>
          <w:sz w:val="28"/>
          <w:szCs w:val="28"/>
        </w:rPr>
      </w:pP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68" w:rsidRDefault="00A35668" w:rsidP="00A62308">
      <w:pPr>
        <w:spacing w:after="0" w:line="240" w:lineRule="auto"/>
      </w:pPr>
      <w:r>
        <w:separator/>
      </w:r>
    </w:p>
  </w:endnote>
  <w:endnote w:type="continuationSeparator" w:id="0">
    <w:p w:rsidR="00A35668" w:rsidRDefault="00A35668"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9C670B">
          <w:rPr>
            <w:noProof/>
          </w:rPr>
          <w:t>16</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68" w:rsidRDefault="00A35668" w:rsidP="00A62308">
      <w:pPr>
        <w:spacing w:after="0" w:line="240" w:lineRule="auto"/>
      </w:pPr>
      <w:r>
        <w:separator/>
      </w:r>
    </w:p>
  </w:footnote>
  <w:footnote w:type="continuationSeparator" w:id="0">
    <w:p w:rsidR="00A35668" w:rsidRDefault="00A35668"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223758"/>
    <w:rsid w:val="00254295"/>
    <w:rsid w:val="00265F3B"/>
    <w:rsid w:val="002D4854"/>
    <w:rsid w:val="002F589B"/>
    <w:rsid w:val="003420CD"/>
    <w:rsid w:val="003C3E50"/>
    <w:rsid w:val="004071BC"/>
    <w:rsid w:val="005328DC"/>
    <w:rsid w:val="00545691"/>
    <w:rsid w:val="0066438B"/>
    <w:rsid w:val="006E545F"/>
    <w:rsid w:val="00763957"/>
    <w:rsid w:val="007652C3"/>
    <w:rsid w:val="00791777"/>
    <w:rsid w:val="007F0194"/>
    <w:rsid w:val="00841932"/>
    <w:rsid w:val="00854A65"/>
    <w:rsid w:val="008645C0"/>
    <w:rsid w:val="009A01EB"/>
    <w:rsid w:val="009C2F94"/>
    <w:rsid w:val="009C670B"/>
    <w:rsid w:val="009D1FA8"/>
    <w:rsid w:val="00A35668"/>
    <w:rsid w:val="00A37DD6"/>
    <w:rsid w:val="00A62308"/>
    <w:rsid w:val="00AA1B05"/>
    <w:rsid w:val="00AD0D72"/>
    <w:rsid w:val="00B06939"/>
    <w:rsid w:val="00B67932"/>
    <w:rsid w:val="00B90010"/>
    <w:rsid w:val="00BC214C"/>
    <w:rsid w:val="00C835DE"/>
    <w:rsid w:val="00D41BAD"/>
    <w:rsid w:val="00D91F84"/>
    <w:rsid w:val="00EA1490"/>
    <w:rsid w:val="00EF393B"/>
    <w:rsid w:val="00F4464B"/>
    <w:rsid w:val="00F93315"/>
    <w:rsid w:val="00FA66C1"/>
    <w:rsid w:val="00FB1EE1"/>
    <w:rsid w:val="00FB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C720-3746-48F5-9615-6F8728E9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dcterms:created xsi:type="dcterms:W3CDTF">2005-12-31T21:15:00Z</dcterms:created>
  <dcterms:modified xsi:type="dcterms:W3CDTF">2005-12-31T23:38:00Z</dcterms:modified>
</cp:coreProperties>
</file>