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32210C">
        <w:rPr>
          <w:szCs w:val="28"/>
        </w:rPr>
        <w:t>биоэкологии и техносферной безопаности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w:t>
      </w:r>
      <w:r w:rsidRPr="00FD583E">
        <w:rPr>
          <w:rFonts w:eastAsia="Times New Roman"/>
          <w:i/>
          <w:sz w:val="32"/>
          <w:szCs w:val="28"/>
        </w:rPr>
        <w:t>Безопасность жизнедеятельности</w:t>
      </w:r>
      <w:r w:rsidRPr="002444F4">
        <w:rPr>
          <w:rFonts w:eastAsia="Times New Roman"/>
          <w:sz w:val="32"/>
          <w:szCs w:val="28"/>
        </w:rPr>
        <w:t>»</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DB794C" w:rsidRPr="002444F4" w:rsidRDefault="00DB794C" w:rsidP="00DB794C">
      <w:pPr>
        <w:pStyle w:val="ReportHead"/>
        <w:suppressAutoHyphens/>
        <w:rPr>
          <w:i/>
          <w:u w:val="single"/>
        </w:rPr>
      </w:pPr>
      <w:r w:rsidRPr="002444F4">
        <w:rPr>
          <w:i/>
          <w:u w:val="single"/>
        </w:rPr>
        <w:t>40.03.01 Юриспруденция</w:t>
      </w:r>
    </w:p>
    <w:p w:rsidR="00DB794C" w:rsidRPr="002444F4" w:rsidRDefault="00DB794C" w:rsidP="00DB794C">
      <w:pPr>
        <w:pStyle w:val="ReportHead"/>
        <w:suppressAutoHyphens/>
        <w:rPr>
          <w:vertAlign w:val="superscript"/>
        </w:rPr>
      </w:pPr>
      <w:r w:rsidRPr="002444F4">
        <w:rPr>
          <w:vertAlign w:val="superscript"/>
        </w:rPr>
        <w:t>(код и наименование направления подготовки)</w:t>
      </w:r>
    </w:p>
    <w:p w:rsidR="00DB794C" w:rsidRPr="002444F4" w:rsidRDefault="00DB794C" w:rsidP="00DB794C">
      <w:pPr>
        <w:pStyle w:val="ReportHead"/>
        <w:suppressAutoHyphens/>
        <w:rPr>
          <w:i/>
          <w:u w:val="single"/>
        </w:rPr>
      </w:pPr>
      <w:r w:rsidRPr="002444F4">
        <w:rPr>
          <w:i/>
          <w:u w:val="single"/>
        </w:rPr>
        <w:t>Общий профиль</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DB794C" w:rsidP="00DB794C">
      <w:pPr>
        <w:suppressAutoHyphens/>
        <w:jc w:val="center"/>
        <w:rPr>
          <w:rFonts w:eastAsia="Arial Unicode MS"/>
          <w:i/>
          <w:sz w:val="28"/>
          <w:szCs w:val="24"/>
          <w:u w:val="single"/>
          <w:lang w:eastAsia="ru-RU"/>
        </w:rPr>
      </w:pPr>
      <w:r>
        <w:rPr>
          <w:rFonts w:eastAsia="Arial Unicode MS"/>
          <w:i/>
          <w:sz w:val="28"/>
          <w:szCs w:val="24"/>
          <w:u w:val="single"/>
          <w:lang w:eastAsia="ru-RU"/>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FD583E">
        <w:rPr>
          <w:rFonts w:eastAsia="Times New Roman"/>
          <w:sz w:val="28"/>
          <w:szCs w:val="28"/>
        </w:rPr>
        <w:t>20</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DB794C" w:rsidRPr="00DB794C">
        <w:rPr>
          <w:szCs w:val="24"/>
        </w:rPr>
        <w:t xml:space="preserve">40.03.01 Юриспруденция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32210C">
        <w:rPr>
          <w:u w:val="single"/>
        </w:rPr>
        <w:t>биоэкологии и техносферной безопаности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FD583E" w:rsidP="009D167F">
      <w:pPr>
        <w:tabs>
          <w:tab w:val="left" w:pos="8055"/>
          <w:tab w:val="left" w:pos="10432"/>
        </w:tabs>
        <w:suppressAutoHyphens/>
        <w:jc w:val="both"/>
        <w:rPr>
          <w:i/>
          <w:sz w:val="28"/>
          <w:vertAlign w:val="superscript"/>
        </w:rPr>
      </w:pPr>
      <w:r>
        <w:rPr>
          <w:sz w:val="28"/>
          <w:u w:val="single"/>
        </w:rPr>
        <w:t>Декан строительно-технологического факультета</w:t>
      </w:r>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8C258D" w:rsidRDefault="00DB794C" w:rsidP="00DB794C">
            <w:pPr>
              <w:pStyle w:val="ReportMain"/>
              <w:suppressAutoHyphens/>
              <w:rPr>
                <w:szCs w:val="24"/>
              </w:rPr>
            </w:pPr>
            <w:r>
              <w:t>ОК-9 готовность</w:t>
            </w:r>
            <w:r w:rsidRPr="001A7DE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r w:rsidRPr="008C258D">
              <w:rPr>
                <w:szCs w:val="24"/>
              </w:rPr>
              <w:t xml:space="preserve"> </w:t>
            </w:r>
          </w:p>
          <w:p w:rsidR="00DB794C" w:rsidRPr="008C258D" w:rsidRDefault="00DB794C" w:rsidP="00DB794C">
            <w:pPr>
              <w:pStyle w:val="ReportMain"/>
              <w:suppressAutoHyphens/>
              <w:rPr>
                <w:szCs w:val="24"/>
              </w:rPr>
            </w:pPr>
          </w:p>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Знать:</w:t>
            </w:r>
          </w:p>
          <w:p w:rsidR="00DB794C" w:rsidRPr="0062407B" w:rsidRDefault="00DB794C" w:rsidP="007E0FF7">
            <w:pPr>
              <w:pStyle w:val="ReportMain"/>
              <w:suppressAutoHyphens/>
            </w:pPr>
            <w:r>
              <w:t>- о</w:t>
            </w:r>
            <w:r w:rsidRPr="0062407B">
              <w:t xml:space="preserve">сновные принципы, методы и средства защиты производственного персонала и населения от </w:t>
            </w:r>
            <w:r w:rsidRPr="00694D61">
              <w:t>возможных последствий аварий, катастроф, стихийных бедствий</w:t>
            </w:r>
            <w:r>
              <w:t>.</w:t>
            </w:r>
            <w:r w:rsidRPr="0062407B">
              <w:t xml:space="preserve"> </w:t>
            </w:r>
          </w:p>
          <w:p w:rsidR="00DB794C" w:rsidRPr="008C258D" w:rsidRDefault="00DB794C" w:rsidP="007E0FF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7E0FF7">
            <w:pPr>
              <w:pStyle w:val="ReportMain"/>
              <w:suppressAutoHyphens/>
              <w:rPr>
                <w:b/>
                <w:u w:val="single"/>
              </w:rPr>
            </w:pPr>
            <w:r w:rsidRPr="0062407B">
              <w:rPr>
                <w:b/>
                <w:u w:val="single"/>
              </w:rPr>
              <w:t>Уметь:</w:t>
            </w:r>
          </w:p>
          <w:p w:rsidR="00DB794C" w:rsidRPr="0062407B" w:rsidRDefault="00DB794C" w:rsidP="007E0FF7">
            <w:pPr>
              <w:pStyle w:val="ReportMain"/>
              <w:suppressAutoHyphens/>
            </w:pPr>
            <w:r w:rsidRPr="00FD3A9C">
              <w:t xml:space="preserve">- использовать методы </w:t>
            </w:r>
            <w:r>
              <w:t xml:space="preserve">и средства </w:t>
            </w:r>
            <w:r w:rsidRPr="00FD3A9C">
              <w:t>защиты производственного персонала и населения в условиях аварий, катастроф и стихийных</w:t>
            </w:r>
            <w:r w:rsidRPr="00FD3A9C">
              <w:rPr>
                <w:sz w:val="28"/>
              </w:rPr>
              <w:t xml:space="preserve"> </w:t>
            </w:r>
            <w:r w:rsidRPr="0062407B">
              <w:t>бедствий</w:t>
            </w:r>
            <w:r>
              <w:t>.</w:t>
            </w:r>
          </w:p>
          <w:p w:rsidR="00DB794C" w:rsidRPr="008C258D" w:rsidRDefault="00DB794C" w:rsidP="007E0FF7">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8B0D04">
            <w:pPr>
              <w:suppressAutoHyphens/>
              <w:spacing w:after="0" w:line="240" w:lineRule="auto"/>
              <w:rPr>
                <w:sz w:val="24"/>
                <w:szCs w:val="24"/>
              </w:rPr>
            </w:pPr>
            <w:r>
              <w:rPr>
                <w:sz w:val="24"/>
                <w:szCs w:val="24"/>
              </w:rPr>
              <w:t>Контрольная работа.</w:t>
            </w:r>
          </w:p>
          <w:p w:rsidR="00DB794C" w:rsidRPr="00C63982" w:rsidRDefault="00DB794C" w:rsidP="008B0D04">
            <w:pPr>
              <w:suppressAutoHyphens/>
              <w:spacing w:after="0" w:line="240" w:lineRule="auto"/>
              <w:rPr>
                <w:i/>
                <w:sz w:val="24"/>
                <w:szCs w:val="24"/>
              </w:rPr>
            </w:pPr>
          </w:p>
        </w:tc>
      </w:tr>
      <w:tr w:rsidR="00DB794C"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Владеть:</w:t>
            </w:r>
          </w:p>
          <w:p w:rsidR="00DB794C" w:rsidRPr="008C258D" w:rsidRDefault="00DB794C" w:rsidP="007E0FF7">
            <w:pPr>
              <w:pStyle w:val="ReportMain"/>
              <w:keepNext/>
              <w:keepLines/>
              <w:suppressAutoHyphens/>
              <w:jc w:val="both"/>
              <w:rPr>
                <w:b/>
                <w:szCs w:val="24"/>
                <w:u w:val="single"/>
              </w:rPr>
            </w:pPr>
            <w:r>
              <w:t xml:space="preserve"> - навыками</w:t>
            </w:r>
            <w:r w:rsidRPr="0062407B">
              <w:t xml:space="preserve"> защиты производственного персонала и населения от </w:t>
            </w:r>
            <w:r w:rsidRPr="00694D61">
              <w:t>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DA17C1" w:rsidRPr="001930B7" w:rsidRDefault="001360E0" w:rsidP="00DA17C1">
      <w:pPr>
        <w:pStyle w:val="ReportMain"/>
        <w:keepNext/>
        <w:suppressAutoHyphens/>
        <w:spacing w:after="360"/>
        <w:ind w:firstLine="709"/>
        <w:jc w:val="both"/>
        <w:outlineLvl w:val="0"/>
        <w:rPr>
          <w:b/>
          <w:sz w:val="28"/>
          <w:szCs w:val="28"/>
        </w:rPr>
      </w:pPr>
      <w:r>
        <w:rPr>
          <w:b/>
          <w:sz w:val="28"/>
        </w:rPr>
        <w:lastRenderedPageBreak/>
        <w:t xml:space="preserve">Раздел 2. </w:t>
      </w:r>
      <w:r w:rsidR="00DA17C1"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DA17C1">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CE4274">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DA38C3" w:rsidRDefault="00DA38C3" w:rsidP="00DA38C3">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lastRenderedPageBreak/>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lastRenderedPageBreak/>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lastRenderedPageBreak/>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lastRenderedPageBreak/>
        <w:t>Раздел 3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lastRenderedPageBreak/>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lastRenderedPageBreak/>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lastRenderedPageBreak/>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lastRenderedPageBreak/>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lastRenderedPageBreak/>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lastRenderedPageBreak/>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lastRenderedPageBreak/>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11.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lastRenderedPageBreak/>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t>4) бензапирен</w:t>
      </w:r>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lastRenderedPageBreak/>
        <w:t>Что называется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 xml:space="preserve">Права и обязанности граждан в области защиты населения и территорий </w:t>
      </w:r>
      <w:r>
        <w:rPr>
          <w:sz w:val="28"/>
          <w:szCs w:val="28"/>
          <w:lang w:eastAsia="ru-RU" w:bidi="ru-RU"/>
        </w:rPr>
        <w:lastRenderedPageBreak/>
        <w:t>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lastRenderedPageBreak/>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312A3D" w:rsidRDefault="00312A3D" w:rsidP="00312A3D">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312A3D" w:rsidTr="00312A3D">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rPr>
                <w:sz w:val="24"/>
                <w:szCs w:val="28"/>
              </w:rPr>
            </w:pPr>
            <w:r w:rsidRPr="00312A3D">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Класс условий труда</w:t>
            </w:r>
          </w:p>
        </w:tc>
      </w:tr>
      <w:tr w:rsidR="00312A3D" w:rsidTr="00312A3D">
        <w:trPr>
          <w:trHeight w:val="545"/>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r w:rsidRPr="00312A3D">
              <w:rPr>
                <w:rStyle w:val="210pt"/>
                <w:rFonts w:eastAsiaTheme="minorHAnsi"/>
                <w:b w:val="0"/>
                <w:sz w:val="24"/>
                <w:szCs w:val="28"/>
                <w:u w:val="none"/>
              </w:rPr>
              <w:t>опти</w:t>
            </w:r>
            <w:r w:rsidRPr="00312A3D">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r w:rsidRPr="00312A3D">
              <w:rPr>
                <w:rStyle w:val="210pt"/>
                <w:rFonts w:eastAsiaTheme="minorHAnsi"/>
                <w:b w:val="0"/>
                <w:sz w:val="24"/>
                <w:szCs w:val="28"/>
                <w:u w:val="none"/>
              </w:rPr>
              <w:t>допу</w:t>
            </w:r>
            <w:r w:rsidRPr="00312A3D">
              <w:rPr>
                <w:rStyle w:val="210pt"/>
                <w:rFonts w:eastAsiaTheme="minorHAnsi"/>
                <w:b w:val="0"/>
                <w:sz w:val="24"/>
                <w:szCs w:val="28"/>
                <w:u w:val="none"/>
              </w:rPr>
              <w:softHyphen/>
            </w:r>
          </w:p>
          <w:p w:rsidR="00312A3D" w:rsidRPr="00312A3D" w:rsidRDefault="00312A3D">
            <w:pPr>
              <w:spacing w:before="60" w:line="200" w:lineRule="exact"/>
              <w:jc w:val="center"/>
              <w:rPr>
                <w:sz w:val="24"/>
                <w:szCs w:val="28"/>
              </w:rPr>
            </w:pPr>
            <w:r w:rsidRPr="00312A3D">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jc w:val="center"/>
              <w:rPr>
                <w:sz w:val="24"/>
                <w:szCs w:val="28"/>
              </w:rPr>
            </w:pPr>
            <w:r w:rsidRPr="00312A3D">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26" w:lineRule="exact"/>
              <w:jc w:val="center"/>
              <w:rPr>
                <w:sz w:val="24"/>
                <w:szCs w:val="28"/>
              </w:rPr>
            </w:pPr>
            <w:r w:rsidRPr="00312A3D">
              <w:rPr>
                <w:rStyle w:val="210pt"/>
                <w:rFonts w:eastAsiaTheme="minorHAnsi"/>
                <w:b w:val="0"/>
                <w:sz w:val="24"/>
                <w:szCs w:val="28"/>
                <w:u w:val="none"/>
              </w:rPr>
              <w:t>опасный (экс</w:t>
            </w:r>
            <w:r w:rsidRPr="00312A3D">
              <w:rPr>
                <w:rStyle w:val="210pt"/>
                <w:rFonts w:eastAsiaTheme="minorHAnsi"/>
                <w:b w:val="0"/>
                <w:sz w:val="24"/>
                <w:szCs w:val="28"/>
                <w:u w:val="none"/>
              </w:rPr>
              <w:softHyphen/>
              <w:t>тремальный)</w:t>
            </w:r>
          </w:p>
        </w:tc>
      </w:tr>
      <w:tr w:rsidR="00312A3D" w:rsidTr="00312A3D">
        <w:trPr>
          <w:trHeight w:val="231"/>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4</w:t>
            </w:r>
          </w:p>
        </w:tc>
      </w:tr>
      <w:tr w:rsidR="00312A3D" w:rsidTr="00312A3D">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ind w:left="140"/>
              <w:rPr>
                <w:sz w:val="24"/>
                <w:szCs w:val="28"/>
              </w:rPr>
            </w:pPr>
            <w:r w:rsidRPr="00312A3D">
              <w:rPr>
                <w:rStyle w:val="2fa"/>
                <w:rFonts w:eastAsiaTheme="minorHAnsi"/>
                <w:sz w:val="24"/>
                <w:szCs w:val="28"/>
              </w:rPr>
              <w:t>Превышение ПДУ (раз)</w:t>
            </w:r>
          </w:p>
        </w:tc>
      </w:tr>
      <w:tr w:rsidR="00312A3D" w:rsidTr="00312A3D">
        <w:trPr>
          <w:trHeight w:val="49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56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257"/>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Электрические поля промышлен</w:t>
            </w:r>
            <w:r w:rsidRPr="00312A3D">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&gt;40</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Электромагнитные поля на рабо</w:t>
            </w:r>
            <w:r w:rsidRPr="00312A3D">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rPr>
                <w:sz w:val="24"/>
                <w:szCs w:val="28"/>
              </w:rPr>
            </w:pP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lastRenderedPageBreak/>
              <w:t>Электромагнитные излучения ра</w:t>
            </w:r>
            <w:r w:rsidRPr="00312A3D">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31"/>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312A3D" w:rsidRPr="00312A3D" w:rsidRDefault="00312A3D">
            <w:pPr>
              <w:spacing w:line="240" w:lineRule="auto"/>
              <w:jc w:val="both"/>
              <w:rPr>
                <w:sz w:val="24"/>
                <w:szCs w:val="28"/>
              </w:rPr>
            </w:pPr>
            <w:r w:rsidRPr="00312A3D">
              <w:rPr>
                <w:rStyle w:val="210pt"/>
                <w:rFonts w:eastAsiaTheme="minorHAnsi"/>
                <w:b w:val="0"/>
                <w:sz w:val="24"/>
                <w:szCs w:val="28"/>
                <w:u w:val="none"/>
              </w:rPr>
              <w:t>Широкополосный электромагнит</w:t>
            </w:r>
            <w:r w:rsidRPr="00312A3D">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160"/>
              <w:jc w:val="both"/>
              <w:rPr>
                <w:sz w:val="24"/>
                <w:szCs w:val="28"/>
              </w:rPr>
            </w:pPr>
            <w:r w:rsidRPr="00312A3D">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20"/>
              <w:jc w:val="both"/>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312A3D" w:rsidRPr="00312A3D" w:rsidRDefault="00312A3D">
            <w:pPr>
              <w:spacing w:line="240" w:lineRule="auto"/>
              <w:jc w:val="both"/>
              <w:rPr>
                <w:sz w:val="24"/>
                <w:szCs w:val="28"/>
              </w:rPr>
            </w:pPr>
            <w:r w:rsidRPr="00312A3D">
              <w:rPr>
                <w:rStyle w:val="2fa"/>
                <w:rFonts w:eastAsiaTheme="minorHAnsi"/>
                <w:sz w:val="24"/>
                <w:szCs w:val="28"/>
              </w:rPr>
              <w:t>&gt;50</w:t>
            </w:r>
          </w:p>
        </w:tc>
      </w:tr>
    </w:tbl>
    <w:p w:rsidR="00312A3D" w:rsidRDefault="00312A3D" w:rsidP="00312A3D">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312A3D" w:rsidRDefault="00312A3D" w:rsidP="00312A3D">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CE4274" w:rsidRDefault="00DA38C3" w:rsidP="00DA38C3">
      <w:pPr>
        <w:widowControl w:val="0"/>
        <w:tabs>
          <w:tab w:val="left" w:pos="738"/>
        </w:tabs>
        <w:spacing w:after="0" w:line="360" w:lineRule="auto"/>
        <w:ind w:firstLine="567"/>
        <w:jc w:val="both"/>
        <w:rPr>
          <w:sz w:val="28"/>
          <w:szCs w:val="28"/>
        </w:rPr>
      </w:pPr>
    </w:p>
    <w:p w:rsidR="00DA38C3" w:rsidRPr="00CE4274" w:rsidRDefault="00DA38C3" w:rsidP="00DA38C3">
      <w:pPr>
        <w:widowControl w:val="0"/>
        <w:numPr>
          <w:ilvl w:val="0"/>
          <w:numId w:val="65"/>
        </w:numPr>
        <w:tabs>
          <w:tab w:val="left" w:pos="738"/>
        </w:tabs>
        <w:spacing w:after="0" w:line="360" w:lineRule="auto"/>
        <w:ind w:firstLine="568"/>
        <w:jc w:val="both"/>
        <w:rPr>
          <w:sz w:val="28"/>
          <w:szCs w:val="28"/>
        </w:rPr>
      </w:pPr>
      <w:r w:rsidRPr="00CE4274">
        <w:rPr>
          <w:sz w:val="28"/>
          <w:szCs w:val="28"/>
          <w:lang w:eastAsia="ru-RU" w:bidi="ru-RU"/>
        </w:rPr>
        <w:t>Составить таблицу по оценке условий труда работника по степени вредности и опасности.</w:t>
      </w:r>
    </w:p>
    <w:p w:rsidR="00DA38C3" w:rsidRPr="00CE4274" w:rsidRDefault="00DA38C3" w:rsidP="00DA38C3">
      <w:pPr>
        <w:pStyle w:val="a6"/>
        <w:numPr>
          <w:ilvl w:val="0"/>
          <w:numId w:val="65"/>
        </w:numPr>
        <w:spacing w:after="0" w:line="360" w:lineRule="auto"/>
        <w:ind w:firstLine="568"/>
        <w:jc w:val="both"/>
        <w:rPr>
          <w:sz w:val="28"/>
          <w:szCs w:val="28"/>
        </w:rPr>
      </w:pPr>
      <w:r w:rsidRPr="00CE4274">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CE4274" w:rsidRDefault="00DA38C3" w:rsidP="00DA38C3">
      <w:pPr>
        <w:pStyle w:val="a6"/>
        <w:spacing w:after="0" w:line="360" w:lineRule="auto"/>
        <w:ind w:left="0" w:firstLine="568"/>
        <w:jc w:val="both"/>
        <w:rPr>
          <w:sz w:val="28"/>
          <w:szCs w:val="28"/>
        </w:rPr>
      </w:pPr>
    </w:p>
    <w:p w:rsidR="00DA38C3" w:rsidRPr="00CE4274" w:rsidRDefault="00DA38C3" w:rsidP="00DA38C3">
      <w:pPr>
        <w:pStyle w:val="a6"/>
        <w:spacing w:after="0" w:line="360" w:lineRule="auto"/>
        <w:ind w:left="0" w:firstLine="568"/>
        <w:jc w:val="both"/>
        <w:rPr>
          <w:sz w:val="28"/>
          <w:szCs w:val="28"/>
        </w:rPr>
      </w:pPr>
      <w:r w:rsidRPr="00CE4274">
        <w:rPr>
          <w:sz w:val="28"/>
          <w:szCs w:val="28"/>
        </w:rPr>
        <w:t xml:space="preserve">Таблица 2 - </w:t>
      </w:r>
      <w:r w:rsidRPr="00CE4274">
        <w:rPr>
          <w:rStyle w:val="affffff2"/>
          <w:rFonts w:eastAsia="Calibri"/>
          <w:b w:val="0"/>
          <w:sz w:val="28"/>
          <w:szCs w:val="28"/>
          <w:u w:val="none"/>
        </w:rPr>
        <w:t>Оценка условий труда работника по степени вредности и опасности</w:t>
      </w:r>
      <w:r w:rsidRPr="00CE4274">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CE4274"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Класс условий труда</w:t>
            </w:r>
          </w:p>
        </w:tc>
      </w:tr>
      <w:tr w:rsidR="00DA38C3" w:rsidRPr="00CE4274"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опти</w:t>
            </w:r>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rPr>
                <w:sz w:val="24"/>
                <w:szCs w:val="28"/>
              </w:rPr>
            </w:pPr>
            <w:r w:rsidRPr="00CE4274">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допу</w:t>
            </w:r>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ind w:left="180"/>
              <w:rPr>
                <w:sz w:val="24"/>
                <w:szCs w:val="28"/>
              </w:rPr>
            </w:pPr>
            <w:r w:rsidRPr="00CE4274">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опасный (экс</w:t>
            </w:r>
            <w:r w:rsidRPr="00CE4274">
              <w:rPr>
                <w:rStyle w:val="210pt"/>
                <w:rFonts w:eastAsia="Calibri"/>
                <w:b w:val="0"/>
                <w:sz w:val="24"/>
                <w:szCs w:val="28"/>
                <w:u w:val="none"/>
                <w:lang w:eastAsia="ru-RU" w:bidi="ru-RU"/>
              </w:rPr>
              <w:softHyphen/>
              <w:t>тремальный)</w:t>
            </w:r>
          </w:p>
        </w:tc>
      </w:tr>
      <w:tr w:rsidR="00DA38C3" w:rsidRPr="00CE4274"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4</w:t>
            </w:r>
          </w:p>
        </w:tc>
      </w:tr>
      <w:tr w:rsidR="00DA38C3" w:rsidRPr="00CE4274"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Ультразвук</w:t>
            </w:r>
          </w:p>
          <w:p w:rsidR="00DA38C3" w:rsidRPr="00CE4274" w:rsidRDefault="00DA38C3">
            <w:pPr>
              <w:spacing w:before="60" w:after="0" w:line="240" w:lineRule="auto"/>
              <w:rPr>
                <w:sz w:val="24"/>
                <w:szCs w:val="28"/>
              </w:rPr>
            </w:pPr>
            <w:r w:rsidRPr="00CE4274">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lastRenderedPageBreak/>
              <w:t>Вибрация общая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Ультразвук контакт</w:t>
            </w:r>
            <w:r w:rsidRPr="00CE4274">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Неионизирующие</w:t>
            </w:r>
          </w:p>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Ионизирующие из</w:t>
            </w:r>
            <w:r w:rsidRPr="00CE4274">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Общая оценка усло</w:t>
            </w:r>
            <w:r w:rsidRPr="00CE4274">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CE4274"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D420D0" w:rsidP="00DA38C3">
      <w:pPr>
        <w:pStyle w:val="ReportMain"/>
        <w:keepNext/>
        <w:suppressAutoHyphens/>
        <w:spacing w:line="360" w:lineRule="auto"/>
        <w:ind w:left="567"/>
        <w:jc w:val="both"/>
        <w:outlineLvl w:val="1"/>
        <w:rPr>
          <w:sz w:val="28"/>
          <w:szCs w:val="28"/>
        </w:rPr>
      </w:pPr>
      <w:r>
        <w:rPr>
          <w:sz w:val="28"/>
          <w:szCs w:val="28"/>
        </w:rPr>
        <w:t>Таблица 1.</w:t>
      </w:r>
      <w:bookmarkStart w:id="1" w:name="_GoBack"/>
      <w:bookmarkEnd w:id="1"/>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lastRenderedPageBreak/>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CE4274"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CE4274"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DA38C3" w:rsidRDefault="00DA38C3" w:rsidP="00DA38C3">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lastRenderedPageBreak/>
        <w:t>Ситуационная задача «Возгорание бытового прибора».</w:t>
      </w:r>
      <w:bookmarkEnd w:id="14"/>
      <w:bookmarkEnd w:id="15"/>
      <w:bookmarkEnd w:id="16"/>
      <w:bookmarkEnd w:id="17"/>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DA38C3">
      <w:pPr>
        <w:pStyle w:val="a6"/>
        <w:spacing w:after="0" w:line="360" w:lineRule="auto"/>
        <w:ind w:left="709"/>
        <w:jc w:val="both"/>
        <w:rPr>
          <w:bCs/>
          <w:sz w:val="28"/>
          <w:szCs w:val="28"/>
          <w:shd w:val="clear" w:color="auto" w:fill="FFFFFF"/>
        </w:rPr>
      </w:pPr>
    </w:p>
    <w:p w:rsidR="00DA38C3" w:rsidRDefault="00DA38C3" w:rsidP="00DA38C3">
      <w:pPr>
        <w:pStyle w:val="ReportMain"/>
        <w:tabs>
          <w:tab w:val="left" w:pos="8347"/>
        </w:tabs>
        <w:spacing w:line="360" w:lineRule="auto"/>
        <w:ind w:firstLine="709"/>
        <w:jc w:val="both"/>
        <w:outlineLvl w:val="1"/>
        <w:rPr>
          <w:b/>
          <w:sz w:val="28"/>
          <w:szCs w:val="24"/>
        </w:rPr>
      </w:pPr>
      <w:r>
        <w:rPr>
          <w:b/>
          <w:sz w:val="28"/>
          <w:szCs w:val="24"/>
        </w:rPr>
        <w:t>Примерная тематика контрольных работ:</w:t>
      </w:r>
      <w:r>
        <w:rPr>
          <w:b/>
          <w:sz w:val="28"/>
          <w:szCs w:val="24"/>
        </w:rPr>
        <w:tab/>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Обеспечение благоприятных условий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Оказание первой медицинской помощи.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Экологическое загрязнение окружающей среды.</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социального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природного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Безопасность населения в чрезвычайных ситуациях.</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lastRenderedPageBreak/>
        <w:t>Правовое регулирование безопасности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техногенного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Применение оружия массового поражения.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Классификация негативных факторов среды обитания.</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DA38C3">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DA38C3">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DA38C3">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DA38C3">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lastRenderedPageBreak/>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 xml:space="preserve">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w:t>
      </w:r>
      <w:r>
        <w:rPr>
          <w:sz w:val="28"/>
          <w:szCs w:val="28"/>
        </w:rPr>
        <w:lastRenderedPageBreak/>
        <w:t>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lastRenderedPageBreak/>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B80675" w:rsidP="00DA38C3">
      <w:pPr>
        <w:spacing w:after="0" w:line="360" w:lineRule="auto"/>
        <w:ind w:firstLine="709"/>
        <w:jc w:val="both"/>
        <w:rPr>
          <w:sz w:val="28"/>
          <w:szCs w:val="28"/>
        </w:rPr>
      </w:pPr>
      <w:r>
        <w:rPr>
          <w:b/>
          <w:sz w:val="28"/>
          <w:szCs w:val="28"/>
        </w:rPr>
        <w:t>16</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B80675"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lastRenderedPageBreak/>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B80675" w:rsidP="00DA38C3">
      <w:pPr>
        <w:spacing w:after="0" w:line="360" w:lineRule="auto"/>
        <w:ind w:firstLine="740"/>
        <w:jc w:val="both"/>
        <w:rPr>
          <w:sz w:val="28"/>
          <w:szCs w:val="28"/>
        </w:rPr>
      </w:pPr>
      <w:r>
        <w:rPr>
          <w:b/>
          <w:sz w:val="28"/>
          <w:szCs w:val="28"/>
        </w:rPr>
        <w:t>18</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B80675"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lastRenderedPageBreak/>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CE4274" w:rsidRDefault="00DA17C1"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DA17C1" w:rsidRDefault="00DA17C1"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lastRenderedPageBreak/>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w:t>
            </w:r>
            <w:r w:rsidRPr="008B0D04">
              <w:rPr>
                <w:rFonts w:eastAsia="Times New Roman"/>
                <w:color w:val="000000"/>
                <w:sz w:val="24"/>
                <w:szCs w:val="28"/>
                <w:lang w:eastAsia="ru-RU"/>
              </w:rPr>
              <w:lastRenderedPageBreak/>
              <w:t>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 xml:space="preserve">репродуктивного уровня, позволяющие </w:t>
            </w:r>
            <w:r w:rsidRPr="00B029BB">
              <w:rPr>
                <w:rStyle w:val="211pt"/>
                <w:rFonts w:eastAsiaTheme="minorHAnsi"/>
                <w:sz w:val="24"/>
                <w:szCs w:val="28"/>
              </w:rPr>
              <w:lastRenderedPageBreak/>
              <w:t>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w:t>
            </w:r>
            <w:r w:rsidRPr="00B029BB">
              <w:rPr>
                <w:sz w:val="24"/>
                <w:szCs w:val="28"/>
              </w:rPr>
              <w:lastRenderedPageBreak/>
              <w:t xml:space="preserve">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CF" w:rsidRDefault="006A25CF" w:rsidP="003D188D">
      <w:pPr>
        <w:spacing w:after="0" w:line="240" w:lineRule="auto"/>
      </w:pPr>
      <w:r>
        <w:separator/>
      </w:r>
    </w:p>
  </w:endnote>
  <w:endnote w:type="continuationSeparator" w:id="0">
    <w:p w:rsidR="006A25CF" w:rsidRDefault="006A25CF"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D420D0">
          <w:rPr>
            <w:noProof/>
            <w:sz w:val="24"/>
          </w:rPr>
          <w:t>90</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CF" w:rsidRDefault="006A25CF" w:rsidP="003D188D">
      <w:pPr>
        <w:spacing w:after="0" w:line="240" w:lineRule="auto"/>
      </w:pPr>
      <w:r>
        <w:separator/>
      </w:r>
    </w:p>
  </w:footnote>
  <w:footnote w:type="continuationSeparator" w:id="0">
    <w:p w:rsidR="006A25CF" w:rsidRDefault="006A25CF"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2E280D96"/>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D214D"/>
    <w:rsid w:val="001E59A0"/>
    <w:rsid w:val="00312A3D"/>
    <w:rsid w:val="0032210C"/>
    <w:rsid w:val="003B1914"/>
    <w:rsid w:val="003D188D"/>
    <w:rsid w:val="00426BB9"/>
    <w:rsid w:val="004560A3"/>
    <w:rsid w:val="00522A5D"/>
    <w:rsid w:val="00543CD4"/>
    <w:rsid w:val="005C5267"/>
    <w:rsid w:val="00663517"/>
    <w:rsid w:val="006A25CF"/>
    <w:rsid w:val="006E730E"/>
    <w:rsid w:val="00760690"/>
    <w:rsid w:val="00793E6E"/>
    <w:rsid w:val="007E0FF7"/>
    <w:rsid w:val="008174F1"/>
    <w:rsid w:val="0082398B"/>
    <w:rsid w:val="0085392B"/>
    <w:rsid w:val="008A3F33"/>
    <w:rsid w:val="008B0D04"/>
    <w:rsid w:val="009621FF"/>
    <w:rsid w:val="009D167F"/>
    <w:rsid w:val="009D55E6"/>
    <w:rsid w:val="009E7247"/>
    <w:rsid w:val="00A24C58"/>
    <w:rsid w:val="00A24D10"/>
    <w:rsid w:val="00B514FB"/>
    <w:rsid w:val="00B66AAE"/>
    <w:rsid w:val="00B7259C"/>
    <w:rsid w:val="00B80675"/>
    <w:rsid w:val="00B95990"/>
    <w:rsid w:val="00BE1871"/>
    <w:rsid w:val="00C63982"/>
    <w:rsid w:val="00C7632D"/>
    <w:rsid w:val="00CE4274"/>
    <w:rsid w:val="00D30CAF"/>
    <w:rsid w:val="00D420D0"/>
    <w:rsid w:val="00DA17C1"/>
    <w:rsid w:val="00DA38C3"/>
    <w:rsid w:val="00DB794C"/>
    <w:rsid w:val="00DF1798"/>
    <w:rsid w:val="00E851C3"/>
    <w:rsid w:val="00F00A64"/>
    <w:rsid w:val="00F40B9E"/>
    <w:rsid w:val="00FD583E"/>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4203671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22241</Words>
  <Characters>126780</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41</cp:revision>
  <cp:lastPrinted>2019-11-11T08:11:00Z</cp:lastPrinted>
  <dcterms:created xsi:type="dcterms:W3CDTF">2019-11-01T09:56:00Z</dcterms:created>
  <dcterms:modified xsi:type="dcterms:W3CDTF">2020-01-19T17:38:00Z</dcterms:modified>
</cp:coreProperties>
</file>